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7FE3" w14:textId="1CC920C7" w:rsidR="00CC68C2" w:rsidRDefault="002159DA" w:rsidP="00CC68C2">
      <w:pPr>
        <w:spacing w:after="0" w:line="240" w:lineRule="auto"/>
        <w:jc w:val="right"/>
        <w:rPr>
          <w:rFonts w:ascii="Arial" w:eastAsia="Times New Roman" w:hAnsi="Arial" w:cs="Arial"/>
          <w:b/>
          <w:sz w:val="20"/>
          <w:szCs w:val="20"/>
        </w:rPr>
      </w:pPr>
      <w:r>
        <w:rPr>
          <w:rFonts w:ascii="Arial" w:eastAsia="Times New Roman" w:hAnsi="Arial" w:cs="Arial"/>
          <w:b/>
          <w:sz w:val="20"/>
          <w:szCs w:val="20"/>
        </w:rPr>
        <w:t xml:space="preserve">Item </w:t>
      </w:r>
      <w:r w:rsidR="00CC68C2">
        <w:rPr>
          <w:rFonts w:ascii="Arial" w:eastAsia="Times New Roman" w:hAnsi="Arial" w:cs="Arial"/>
          <w:b/>
          <w:sz w:val="20"/>
          <w:szCs w:val="20"/>
        </w:rPr>
        <w:t>10a</w:t>
      </w:r>
    </w:p>
    <w:p w14:paraId="59ED96AD" w14:textId="77777777" w:rsidR="002159DA" w:rsidRDefault="002159DA" w:rsidP="00183E4A">
      <w:pPr>
        <w:spacing w:after="0" w:line="240" w:lineRule="auto"/>
        <w:jc w:val="right"/>
        <w:rPr>
          <w:rFonts w:ascii="Arial" w:eastAsia="Times New Roman" w:hAnsi="Arial" w:cs="Arial"/>
          <w:b/>
          <w:sz w:val="20"/>
          <w:szCs w:val="20"/>
        </w:rPr>
      </w:pPr>
    </w:p>
    <w:p w14:paraId="0C6B8CE2" w14:textId="0C8809D3" w:rsidR="00183E4A" w:rsidRDefault="005B75CA" w:rsidP="009C0098">
      <w:pPr>
        <w:spacing w:after="0" w:line="240" w:lineRule="auto"/>
        <w:rPr>
          <w:rFonts w:ascii="Arial" w:eastAsia="Times New Roman" w:hAnsi="Arial" w:cs="Arial"/>
          <w:b/>
          <w:sz w:val="20"/>
          <w:szCs w:val="20"/>
        </w:rPr>
      </w:pPr>
      <w:r w:rsidRPr="00183E4A">
        <w:rPr>
          <w:rFonts w:ascii="Arial" w:eastAsia="Times New Roman" w:hAnsi="Arial" w:cs="Arial"/>
          <w:b/>
          <w:sz w:val="20"/>
          <w:szCs w:val="20"/>
        </w:rPr>
        <w:t>Educational Quality Committee</w:t>
      </w:r>
    </w:p>
    <w:p w14:paraId="2FD9BCE5" w14:textId="5305466C" w:rsidR="005B75CA" w:rsidRPr="00183E4A" w:rsidRDefault="009F663C" w:rsidP="00183E4A">
      <w:pPr>
        <w:spacing w:after="0" w:line="240" w:lineRule="auto"/>
        <w:jc w:val="right"/>
        <w:rPr>
          <w:rFonts w:ascii="Arial" w:eastAsia="Times New Roman" w:hAnsi="Arial" w:cs="Arial"/>
          <w:b/>
          <w:sz w:val="20"/>
          <w:szCs w:val="20"/>
        </w:rPr>
      </w:pPr>
      <w:r w:rsidRPr="00183E4A">
        <w:rPr>
          <w:rFonts w:ascii="Arial" w:eastAsia="Times New Roman" w:hAnsi="Arial" w:cs="Arial"/>
          <w:b/>
          <w:sz w:val="20"/>
          <w:szCs w:val="20"/>
        </w:rPr>
        <w:t xml:space="preserve">                   </w:t>
      </w:r>
    </w:p>
    <w:p w14:paraId="4F3072D5" w14:textId="4BD0D6A9" w:rsidR="005B75CA" w:rsidRDefault="009C0098" w:rsidP="009C0098">
      <w:pPr>
        <w:spacing w:after="0" w:line="240" w:lineRule="auto"/>
        <w:rPr>
          <w:rFonts w:ascii="Arial" w:eastAsia="Times New Roman" w:hAnsi="Arial" w:cs="Arial"/>
          <w:b/>
          <w:sz w:val="20"/>
          <w:szCs w:val="20"/>
        </w:rPr>
      </w:pPr>
      <w:r>
        <w:rPr>
          <w:rFonts w:ascii="Arial" w:eastAsia="Times New Roman" w:hAnsi="Arial" w:cs="Arial"/>
          <w:b/>
          <w:sz w:val="20"/>
          <w:szCs w:val="20"/>
        </w:rPr>
        <w:t>5 Oct 20</w:t>
      </w:r>
      <w:r w:rsidR="000E4935" w:rsidRPr="00183E4A">
        <w:rPr>
          <w:rFonts w:ascii="Arial" w:eastAsia="Times New Roman" w:hAnsi="Arial" w:cs="Arial"/>
          <w:b/>
          <w:sz w:val="20"/>
          <w:szCs w:val="20"/>
        </w:rPr>
        <w:t>2</w:t>
      </w:r>
      <w:r w:rsidR="008966A5">
        <w:rPr>
          <w:rFonts w:ascii="Arial" w:eastAsia="Times New Roman" w:hAnsi="Arial" w:cs="Arial"/>
          <w:b/>
          <w:sz w:val="20"/>
          <w:szCs w:val="20"/>
        </w:rPr>
        <w:t>1</w:t>
      </w:r>
      <w:r w:rsidR="005B75CA">
        <w:rPr>
          <w:rFonts w:ascii="Arial" w:eastAsia="Times New Roman" w:hAnsi="Arial" w:cs="Arial"/>
          <w:b/>
          <w:sz w:val="20"/>
          <w:szCs w:val="20"/>
        </w:rPr>
        <w:t xml:space="preserve">                                                                                                                                   </w:t>
      </w:r>
    </w:p>
    <w:p w14:paraId="10B246D3" w14:textId="77777777" w:rsidR="005B75CA" w:rsidRDefault="005B75CA" w:rsidP="005B75CA">
      <w:pPr>
        <w:spacing w:after="0" w:line="240" w:lineRule="auto"/>
        <w:jc w:val="right"/>
        <w:rPr>
          <w:rFonts w:ascii="Arial" w:eastAsia="Times New Roman" w:hAnsi="Arial" w:cs="Arial"/>
          <w:b/>
          <w:sz w:val="20"/>
          <w:szCs w:val="20"/>
        </w:rPr>
      </w:pPr>
    </w:p>
    <w:tbl>
      <w:tblPr>
        <w:tblStyle w:val="TableGrid"/>
        <w:tblW w:w="0" w:type="auto"/>
        <w:tblInd w:w="421" w:type="dxa"/>
        <w:tblLook w:val="04A0" w:firstRow="1" w:lastRow="0" w:firstColumn="1" w:lastColumn="0" w:noHBand="0" w:noVBand="1"/>
      </w:tblPr>
      <w:tblGrid>
        <w:gridCol w:w="1270"/>
        <w:gridCol w:w="1008"/>
        <w:gridCol w:w="7360"/>
      </w:tblGrid>
      <w:tr w:rsidR="005B75CA" w:rsidRPr="00950167" w14:paraId="02044368" w14:textId="77777777" w:rsidTr="00183E4A">
        <w:trPr>
          <w:trHeight w:val="340"/>
        </w:trPr>
        <w:tc>
          <w:tcPr>
            <w:tcW w:w="9355"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53C048" w14:textId="77777777" w:rsidR="005B75CA" w:rsidRPr="00920036" w:rsidRDefault="005B75CA" w:rsidP="00667FC1">
            <w:pPr>
              <w:rPr>
                <w:rFonts w:ascii="Arial" w:hAnsi="Arial" w:cs="Arial"/>
                <w:sz w:val="24"/>
                <w:szCs w:val="24"/>
              </w:rPr>
            </w:pPr>
            <w:r w:rsidRPr="00920036">
              <w:rPr>
                <w:rFonts w:ascii="Arial" w:hAnsi="Arial" w:cs="Arial"/>
                <w:b/>
                <w:sz w:val="24"/>
                <w:szCs w:val="24"/>
              </w:rPr>
              <w:t>Access restrictions:</w:t>
            </w:r>
            <w:r w:rsidRPr="00920036">
              <w:rPr>
                <w:rFonts w:ascii="Arial" w:hAnsi="Arial" w:cs="Arial"/>
                <w:sz w:val="24"/>
                <w:szCs w:val="24"/>
              </w:rPr>
              <w:t xml:space="preserve"> </w:t>
            </w:r>
            <w:r w:rsidRPr="00920036">
              <w:rPr>
                <w:rFonts w:ascii="Arial" w:hAnsi="Arial" w:cs="Arial"/>
                <w:b/>
                <w:sz w:val="24"/>
                <w:szCs w:val="24"/>
              </w:rPr>
              <w:t xml:space="preserve">n/a </w:t>
            </w:r>
          </w:p>
        </w:tc>
      </w:tr>
      <w:tr w:rsidR="005B75CA" w:rsidRPr="00950167" w14:paraId="5221821A" w14:textId="77777777" w:rsidTr="00183E4A">
        <w:tc>
          <w:tcPr>
            <w:tcW w:w="987" w:type="dxa"/>
            <w:tcBorders>
              <w:top w:val="nil"/>
              <w:left w:val="nil"/>
              <w:bottom w:val="nil"/>
              <w:right w:val="nil"/>
            </w:tcBorders>
          </w:tcPr>
          <w:p w14:paraId="789A9790" w14:textId="77777777" w:rsidR="005B75CA" w:rsidRPr="00950167" w:rsidRDefault="005B75CA" w:rsidP="00667FC1">
            <w:pPr>
              <w:rPr>
                <w:rFonts w:ascii="Arial" w:hAnsi="Arial" w:cs="Arial"/>
                <w:sz w:val="24"/>
                <w:szCs w:val="24"/>
              </w:rPr>
            </w:pPr>
          </w:p>
          <w:p w14:paraId="5DB564A7" w14:textId="77777777" w:rsidR="005B75CA" w:rsidRPr="00950167" w:rsidRDefault="005B75CA" w:rsidP="00667FC1">
            <w:pPr>
              <w:rPr>
                <w:rFonts w:ascii="Arial" w:hAnsi="Arial" w:cs="Arial"/>
                <w:sz w:val="24"/>
                <w:szCs w:val="24"/>
              </w:rPr>
            </w:pPr>
            <w:r w:rsidRPr="00950167">
              <w:rPr>
                <w:rFonts w:ascii="Arial" w:hAnsi="Arial" w:cs="Arial"/>
                <w:sz w:val="24"/>
                <w:szCs w:val="24"/>
              </w:rPr>
              <w:t>From:</w:t>
            </w:r>
          </w:p>
        </w:tc>
        <w:tc>
          <w:tcPr>
            <w:tcW w:w="8368" w:type="dxa"/>
            <w:gridSpan w:val="2"/>
            <w:tcBorders>
              <w:top w:val="nil"/>
              <w:left w:val="nil"/>
              <w:bottom w:val="nil"/>
              <w:right w:val="nil"/>
            </w:tcBorders>
          </w:tcPr>
          <w:p w14:paraId="12E33675" w14:textId="77777777" w:rsidR="005B75CA" w:rsidRPr="00950167" w:rsidRDefault="005B75CA" w:rsidP="00667FC1">
            <w:pPr>
              <w:rPr>
                <w:rFonts w:ascii="Arial" w:hAnsi="Arial" w:cs="Arial"/>
                <w:sz w:val="24"/>
                <w:szCs w:val="24"/>
              </w:rPr>
            </w:pPr>
          </w:p>
          <w:p w14:paraId="31ACED8A" w14:textId="3AB35946" w:rsidR="005B75CA" w:rsidRPr="00950167" w:rsidRDefault="004C3C27" w:rsidP="00667FC1">
            <w:pPr>
              <w:rPr>
                <w:rFonts w:ascii="Arial" w:hAnsi="Arial" w:cs="Arial"/>
                <w:sz w:val="24"/>
                <w:szCs w:val="24"/>
              </w:rPr>
            </w:pPr>
            <w:r w:rsidRPr="00950167">
              <w:rPr>
                <w:rFonts w:ascii="Arial" w:hAnsi="Arial" w:cs="Arial"/>
                <w:sz w:val="24"/>
                <w:szCs w:val="24"/>
              </w:rPr>
              <w:t>Yewande Akindele</w:t>
            </w:r>
            <w:r w:rsidR="002022A9">
              <w:rPr>
                <w:rFonts w:ascii="Arial" w:hAnsi="Arial" w:cs="Arial"/>
                <w:sz w:val="24"/>
                <w:szCs w:val="24"/>
              </w:rPr>
              <w:t>, Head of Quality and Academic Development</w:t>
            </w:r>
          </w:p>
        </w:tc>
      </w:tr>
      <w:tr w:rsidR="005B75CA" w:rsidRPr="00950167" w14:paraId="4101D4ED" w14:textId="77777777" w:rsidTr="00183E4A">
        <w:tc>
          <w:tcPr>
            <w:tcW w:w="987" w:type="dxa"/>
            <w:tcBorders>
              <w:top w:val="nil"/>
              <w:left w:val="nil"/>
              <w:bottom w:val="nil"/>
              <w:right w:val="nil"/>
            </w:tcBorders>
          </w:tcPr>
          <w:p w14:paraId="6A88F769" w14:textId="77777777" w:rsidR="005B75CA" w:rsidRPr="00920036" w:rsidRDefault="005B75CA" w:rsidP="00667FC1">
            <w:pPr>
              <w:rPr>
                <w:rFonts w:ascii="Arial" w:hAnsi="Arial" w:cs="Arial"/>
                <w:sz w:val="24"/>
                <w:szCs w:val="24"/>
              </w:rPr>
            </w:pPr>
          </w:p>
        </w:tc>
        <w:tc>
          <w:tcPr>
            <w:tcW w:w="8368" w:type="dxa"/>
            <w:gridSpan w:val="2"/>
            <w:tcBorders>
              <w:top w:val="nil"/>
              <w:left w:val="nil"/>
              <w:bottom w:val="nil"/>
              <w:right w:val="nil"/>
            </w:tcBorders>
          </w:tcPr>
          <w:p w14:paraId="23885A6D" w14:textId="77777777" w:rsidR="005B75CA" w:rsidRPr="00950167" w:rsidRDefault="005B75CA" w:rsidP="00667FC1">
            <w:pPr>
              <w:rPr>
                <w:rFonts w:ascii="Arial" w:hAnsi="Arial" w:cs="Arial"/>
                <w:sz w:val="24"/>
                <w:szCs w:val="24"/>
              </w:rPr>
            </w:pPr>
          </w:p>
        </w:tc>
      </w:tr>
      <w:tr w:rsidR="005B75CA" w:rsidRPr="00950167" w14:paraId="7BDDD112" w14:textId="77777777" w:rsidTr="00183E4A">
        <w:trPr>
          <w:trHeight w:val="244"/>
        </w:trPr>
        <w:tc>
          <w:tcPr>
            <w:tcW w:w="987" w:type="dxa"/>
            <w:tcBorders>
              <w:top w:val="nil"/>
              <w:left w:val="nil"/>
              <w:bottom w:val="nil"/>
              <w:right w:val="nil"/>
            </w:tcBorders>
            <w:hideMark/>
          </w:tcPr>
          <w:p w14:paraId="7E524CF4" w14:textId="77777777" w:rsidR="005B75CA" w:rsidRPr="00950167" w:rsidRDefault="005B75CA" w:rsidP="00667FC1">
            <w:pPr>
              <w:rPr>
                <w:rFonts w:ascii="Arial" w:hAnsi="Arial" w:cs="Arial"/>
                <w:sz w:val="24"/>
                <w:szCs w:val="24"/>
              </w:rPr>
            </w:pPr>
            <w:r w:rsidRPr="00950167">
              <w:rPr>
                <w:rFonts w:ascii="Arial" w:hAnsi="Arial" w:cs="Arial"/>
                <w:b/>
                <w:sz w:val="24"/>
                <w:szCs w:val="24"/>
              </w:rPr>
              <w:t>Subject:</w:t>
            </w:r>
          </w:p>
        </w:tc>
        <w:tc>
          <w:tcPr>
            <w:tcW w:w="8368" w:type="dxa"/>
            <w:gridSpan w:val="2"/>
            <w:tcBorders>
              <w:top w:val="nil"/>
              <w:left w:val="nil"/>
              <w:bottom w:val="nil"/>
              <w:right w:val="nil"/>
            </w:tcBorders>
            <w:hideMark/>
          </w:tcPr>
          <w:p w14:paraId="3C4FF8D9" w14:textId="255B2A51" w:rsidR="005B75CA" w:rsidRPr="00950167" w:rsidRDefault="005B75CA" w:rsidP="005B75CA">
            <w:pPr>
              <w:rPr>
                <w:rFonts w:ascii="Arial" w:hAnsi="Arial" w:cs="Arial"/>
                <w:b/>
                <w:sz w:val="24"/>
                <w:szCs w:val="24"/>
              </w:rPr>
            </w:pPr>
            <w:r w:rsidRPr="00950167">
              <w:rPr>
                <w:rFonts w:ascii="Arial" w:hAnsi="Arial" w:cs="Arial"/>
                <w:b/>
                <w:sz w:val="24"/>
                <w:szCs w:val="24"/>
              </w:rPr>
              <w:t>Programme Developments</w:t>
            </w:r>
            <w:r w:rsidR="00B4726C" w:rsidRPr="00950167">
              <w:rPr>
                <w:rFonts w:ascii="Arial" w:hAnsi="Arial" w:cs="Arial"/>
                <w:b/>
                <w:sz w:val="24"/>
                <w:szCs w:val="24"/>
              </w:rPr>
              <w:t xml:space="preserve">: University </w:t>
            </w:r>
            <w:r w:rsidRPr="00950167">
              <w:rPr>
                <w:rFonts w:ascii="Arial" w:hAnsi="Arial" w:cs="Arial"/>
                <w:b/>
                <w:sz w:val="24"/>
                <w:szCs w:val="24"/>
              </w:rPr>
              <w:t>P</w:t>
            </w:r>
            <w:r w:rsidR="00B4726C" w:rsidRPr="00950167">
              <w:rPr>
                <w:rFonts w:ascii="Arial" w:hAnsi="Arial" w:cs="Arial"/>
                <w:b/>
                <w:sz w:val="24"/>
                <w:szCs w:val="24"/>
              </w:rPr>
              <w:t xml:space="preserve">rogramme </w:t>
            </w:r>
            <w:r w:rsidRPr="00950167">
              <w:rPr>
                <w:rFonts w:ascii="Arial" w:hAnsi="Arial" w:cs="Arial"/>
                <w:b/>
                <w:sz w:val="24"/>
                <w:szCs w:val="24"/>
              </w:rPr>
              <w:t>A</w:t>
            </w:r>
            <w:r w:rsidR="00B4726C" w:rsidRPr="00950167">
              <w:rPr>
                <w:rFonts w:ascii="Arial" w:hAnsi="Arial" w:cs="Arial"/>
                <w:b/>
                <w:sz w:val="24"/>
                <w:szCs w:val="24"/>
              </w:rPr>
              <w:t>pproval committee</w:t>
            </w:r>
            <w:r w:rsidRPr="00950167">
              <w:rPr>
                <w:rFonts w:ascii="Arial" w:hAnsi="Arial" w:cs="Arial"/>
                <w:b/>
                <w:sz w:val="24"/>
                <w:szCs w:val="24"/>
              </w:rPr>
              <w:t xml:space="preserve"> </w:t>
            </w:r>
            <w:r w:rsidR="00B4726C" w:rsidRPr="00950167">
              <w:rPr>
                <w:rFonts w:ascii="Arial" w:hAnsi="Arial" w:cs="Arial"/>
                <w:b/>
                <w:sz w:val="24"/>
                <w:szCs w:val="24"/>
              </w:rPr>
              <w:t>and School Programme Approval and Review Committees </w:t>
            </w:r>
            <w:r w:rsidR="00B4726C" w:rsidRPr="00950167" w:rsidDel="00B4726C">
              <w:rPr>
                <w:rFonts w:ascii="Arial" w:hAnsi="Arial" w:cs="Arial"/>
                <w:b/>
                <w:sz w:val="24"/>
                <w:szCs w:val="24"/>
              </w:rPr>
              <w:t xml:space="preserve"> </w:t>
            </w:r>
          </w:p>
          <w:p w14:paraId="365F2A12" w14:textId="31D465BE" w:rsidR="005B75CA" w:rsidRPr="00950167" w:rsidRDefault="005B75CA" w:rsidP="00667FC1">
            <w:pPr>
              <w:rPr>
                <w:rFonts w:ascii="Arial" w:hAnsi="Arial" w:cs="Arial"/>
                <w:b/>
                <w:sz w:val="24"/>
                <w:szCs w:val="24"/>
              </w:rPr>
            </w:pPr>
          </w:p>
        </w:tc>
      </w:tr>
      <w:tr w:rsidR="005B75CA" w:rsidRPr="00950167" w14:paraId="2772128A" w14:textId="77777777" w:rsidTr="00183E4A">
        <w:tc>
          <w:tcPr>
            <w:tcW w:w="987" w:type="dxa"/>
            <w:tcBorders>
              <w:top w:val="nil"/>
              <w:left w:val="nil"/>
              <w:bottom w:val="nil"/>
              <w:right w:val="nil"/>
            </w:tcBorders>
          </w:tcPr>
          <w:p w14:paraId="07AAAC42" w14:textId="77777777" w:rsidR="005B75CA" w:rsidRPr="00950167" w:rsidRDefault="005B75CA" w:rsidP="00667FC1">
            <w:pPr>
              <w:rPr>
                <w:rFonts w:ascii="Arial" w:hAnsi="Arial" w:cs="Arial"/>
                <w:sz w:val="24"/>
                <w:szCs w:val="24"/>
              </w:rPr>
            </w:pPr>
          </w:p>
        </w:tc>
        <w:tc>
          <w:tcPr>
            <w:tcW w:w="8368" w:type="dxa"/>
            <w:gridSpan w:val="2"/>
            <w:tcBorders>
              <w:top w:val="nil"/>
              <w:left w:val="nil"/>
              <w:bottom w:val="nil"/>
              <w:right w:val="nil"/>
            </w:tcBorders>
          </w:tcPr>
          <w:p w14:paraId="399F1840" w14:textId="77777777" w:rsidR="005B75CA" w:rsidRPr="00950167" w:rsidRDefault="005B75CA" w:rsidP="00667FC1">
            <w:pPr>
              <w:rPr>
                <w:rFonts w:ascii="Arial" w:hAnsi="Arial" w:cs="Arial"/>
                <w:sz w:val="24"/>
                <w:szCs w:val="24"/>
              </w:rPr>
            </w:pPr>
          </w:p>
        </w:tc>
      </w:tr>
      <w:tr w:rsidR="005B75CA" w:rsidRPr="00950167" w14:paraId="5CBCB404" w14:textId="77777777" w:rsidTr="00183E4A">
        <w:tc>
          <w:tcPr>
            <w:tcW w:w="987" w:type="dxa"/>
            <w:tcBorders>
              <w:top w:val="nil"/>
              <w:left w:val="nil"/>
              <w:bottom w:val="nil"/>
              <w:right w:val="nil"/>
            </w:tcBorders>
            <w:hideMark/>
          </w:tcPr>
          <w:p w14:paraId="5E3DEFF4" w14:textId="77777777" w:rsidR="005B75CA" w:rsidRPr="00950167" w:rsidRDefault="005B75CA" w:rsidP="00667FC1">
            <w:pPr>
              <w:rPr>
                <w:rFonts w:ascii="Arial" w:hAnsi="Arial" w:cs="Arial"/>
                <w:sz w:val="24"/>
                <w:szCs w:val="24"/>
              </w:rPr>
            </w:pPr>
            <w:r w:rsidRPr="00950167">
              <w:rPr>
                <w:rFonts w:ascii="Arial" w:hAnsi="Arial" w:cs="Arial"/>
                <w:sz w:val="24"/>
                <w:szCs w:val="24"/>
              </w:rPr>
              <w:t>Status:</w:t>
            </w:r>
          </w:p>
        </w:tc>
        <w:tc>
          <w:tcPr>
            <w:tcW w:w="8368" w:type="dxa"/>
            <w:gridSpan w:val="2"/>
            <w:tcBorders>
              <w:top w:val="nil"/>
              <w:left w:val="nil"/>
              <w:bottom w:val="nil"/>
              <w:right w:val="nil"/>
            </w:tcBorders>
            <w:hideMark/>
          </w:tcPr>
          <w:p w14:paraId="092B49D9" w14:textId="712E89B7" w:rsidR="005B75CA" w:rsidRPr="00950167" w:rsidRDefault="005B75CA" w:rsidP="00667FC1">
            <w:pPr>
              <w:rPr>
                <w:rFonts w:ascii="Arial" w:hAnsi="Arial" w:cs="Arial"/>
                <w:sz w:val="24"/>
                <w:szCs w:val="24"/>
                <w:u w:val="single"/>
              </w:rPr>
            </w:pPr>
            <w:r w:rsidRPr="00950167">
              <w:rPr>
                <w:rFonts w:ascii="Arial" w:hAnsi="Arial" w:cs="Arial"/>
                <w:sz w:val="24"/>
                <w:szCs w:val="24"/>
                <w:u w:val="single"/>
              </w:rPr>
              <w:t>For Noting</w:t>
            </w:r>
            <w:r w:rsidR="00D7189F" w:rsidRPr="00950167">
              <w:rPr>
                <w:rFonts w:ascii="Arial" w:hAnsi="Arial" w:cs="Arial"/>
                <w:sz w:val="24"/>
                <w:szCs w:val="24"/>
                <w:u w:val="single"/>
              </w:rPr>
              <w:t xml:space="preserve"> &amp; Approval</w:t>
            </w:r>
          </w:p>
        </w:tc>
      </w:tr>
      <w:tr w:rsidR="005B75CA" w:rsidRPr="00950167" w14:paraId="3CE8CD00" w14:textId="77777777" w:rsidTr="00183E4A">
        <w:tc>
          <w:tcPr>
            <w:tcW w:w="987" w:type="dxa"/>
            <w:tcBorders>
              <w:top w:val="nil"/>
              <w:left w:val="nil"/>
              <w:bottom w:val="nil"/>
              <w:right w:val="nil"/>
            </w:tcBorders>
          </w:tcPr>
          <w:p w14:paraId="4E52E168" w14:textId="77777777" w:rsidR="005B75CA" w:rsidRPr="00950167" w:rsidRDefault="005B75CA" w:rsidP="00667FC1">
            <w:pPr>
              <w:rPr>
                <w:rFonts w:ascii="Arial" w:hAnsi="Arial" w:cs="Arial"/>
                <w:sz w:val="24"/>
                <w:szCs w:val="24"/>
              </w:rPr>
            </w:pPr>
          </w:p>
        </w:tc>
        <w:tc>
          <w:tcPr>
            <w:tcW w:w="8368" w:type="dxa"/>
            <w:gridSpan w:val="2"/>
            <w:tcBorders>
              <w:top w:val="nil"/>
              <w:left w:val="nil"/>
              <w:bottom w:val="nil"/>
              <w:right w:val="nil"/>
            </w:tcBorders>
          </w:tcPr>
          <w:p w14:paraId="5C9E3875" w14:textId="77777777" w:rsidR="005B75CA" w:rsidRPr="00950167" w:rsidRDefault="005B75CA" w:rsidP="00667FC1">
            <w:pPr>
              <w:rPr>
                <w:rFonts w:ascii="Arial" w:hAnsi="Arial" w:cs="Arial"/>
                <w:sz w:val="24"/>
                <w:szCs w:val="24"/>
              </w:rPr>
            </w:pPr>
          </w:p>
        </w:tc>
      </w:tr>
      <w:tr w:rsidR="005B75CA" w:rsidRPr="00950167" w14:paraId="440FA1CF" w14:textId="77777777" w:rsidTr="00183E4A">
        <w:tc>
          <w:tcPr>
            <w:tcW w:w="987" w:type="dxa"/>
            <w:tcBorders>
              <w:top w:val="nil"/>
              <w:left w:val="nil"/>
              <w:bottom w:val="nil"/>
              <w:right w:val="nil"/>
            </w:tcBorders>
            <w:hideMark/>
          </w:tcPr>
          <w:p w14:paraId="4A0D5370" w14:textId="77777777" w:rsidR="005B75CA" w:rsidRPr="00950167" w:rsidRDefault="005B75CA" w:rsidP="00667FC1">
            <w:pPr>
              <w:rPr>
                <w:rFonts w:ascii="Arial" w:hAnsi="Arial" w:cs="Arial"/>
                <w:sz w:val="24"/>
                <w:szCs w:val="24"/>
              </w:rPr>
            </w:pPr>
            <w:r w:rsidRPr="00950167">
              <w:rPr>
                <w:rFonts w:ascii="Arial" w:hAnsi="Arial" w:cs="Arial"/>
                <w:sz w:val="24"/>
                <w:szCs w:val="24"/>
              </w:rPr>
              <w:t>Author(s):</w:t>
            </w:r>
          </w:p>
        </w:tc>
        <w:tc>
          <w:tcPr>
            <w:tcW w:w="8368" w:type="dxa"/>
            <w:gridSpan w:val="2"/>
            <w:tcBorders>
              <w:top w:val="nil"/>
              <w:left w:val="nil"/>
              <w:bottom w:val="nil"/>
              <w:right w:val="nil"/>
            </w:tcBorders>
            <w:hideMark/>
          </w:tcPr>
          <w:p w14:paraId="25D3FA7A" w14:textId="0D74B3C4" w:rsidR="005B75CA" w:rsidRPr="00950167" w:rsidRDefault="005B75CA" w:rsidP="00667FC1">
            <w:pPr>
              <w:rPr>
                <w:rFonts w:ascii="Arial" w:hAnsi="Arial" w:cs="Arial"/>
                <w:sz w:val="24"/>
                <w:szCs w:val="24"/>
              </w:rPr>
            </w:pPr>
            <w:r w:rsidRPr="00950167">
              <w:rPr>
                <w:rFonts w:ascii="Arial" w:hAnsi="Arial" w:cs="Arial"/>
                <w:sz w:val="24"/>
                <w:szCs w:val="24"/>
              </w:rPr>
              <w:t>Seán Hogan</w:t>
            </w:r>
            <w:r w:rsidR="002022A9">
              <w:rPr>
                <w:rFonts w:ascii="Arial" w:hAnsi="Arial" w:cs="Arial"/>
                <w:sz w:val="24"/>
                <w:szCs w:val="24"/>
              </w:rPr>
              <w:t xml:space="preserve">, Quality and Standards Officer </w:t>
            </w:r>
          </w:p>
          <w:p w14:paraId="7C46D2BD" w14:textId="1130F7DE" w:rsidR="007B3A18" w:rsidRPr="00920036" w:rsidRDefault="007B3A18" w:rsidP="00667FC1">
            <w:pPr>
              <w:rPr>
                <w:rFonts w:ascii="Arial" w:hAnsi="Arial" w:cs="Arial"/>
                <w:sz w:val="24"/>
                <w:szCs w:val="24"/>
              </w:rPr>
            </w:pPr>
            <w:r w:rsidRPr="00950167">
              <w:rPr>
                <w:rFonts w:ascii="Arial" w:hAnsi="Arial" w:cs="Arial"/>
                <w:sz w:val="24"/>
                <w:szCs w:val="24"/>
              </w:rPr>
              <w:t>David Ross</w:t>
            </w:r>
            <w:r w:rsidR="002022A9">
              <w:rPr>
                <w:rFonts w:ascii="Arial" w:hAnsi="Arial" w:cs="Arial"/>
                <w:sz w:val="24"/>
                <w:szCs w:val="24"/>
              </w:rPr>
              <w:t xml:space="preserve">, Quality and Standards Officer </w:t>
            </w:r>
            <w:r w:rsidRPr="00950167">
              <w:rPr>
                <w:rFonts w:ascii="Arial" w:hAnsi="Arial" w:cs="Arial"/>
                <w:sz w:val="24"/>
                <w:szCs w:val="24"/>
              </w:rPr>
              <w:t xml:space="preserve"> </w:t>
            </w:r>
          </w:p>
        </w:tc>
      </w:tr>
      <w:tr w:rsidR="005B75CA" w:rsidRPr="00950167" w14:paraId="4B220B30" w14:textId="77777777" w:rsidTr="00183E4A">
        <w:tc>
          <w:tcPr>
            <w:tcW w:w="987" w:type="dxa"/>
            <w:tcBorders>
              <w:top w:val="nil"/>
              <w:left w:val="nil"/>
              <w:bottom w:val="nil"/>
              <w:right w:val="nil"/>
            </w:tcBorders>
          </w:tcPr>
          <w:p w14:paraId="26BF5380" w14:textId="77777777" w:rsidR="005B75CA" w:rsidRPr="00950167" w:rsidRDefault="005B75CA" w:rsidP="00667FC1">
            <w:pPr>
              <w:rPr>
                <w:rFonts w:ascii="Arial" w:hAnsi="Arial" w:cs="Arial"/>
                <w:sz w:val="24"/>
                <w:szCs w:val="24"/>
              </w:rPr>
            </w:pPr>
          </w:p>
        </w:tc>
        <w:tc>
          <w:tcPr>
            <w:tcW w:w="8368" w:type="dxa"/>
            <w:gridSpan w:val="2"/>
            <w:tcBorders>
              <w:top w:val="nil"/>
              <w:left w:val="nil"/>
              <w:bottom w:val="nil"/>
              <w:right w:val="nil"/>
            </w:tcBorders>
          </w:tcPr>
          <w:p w14:paraId="14F30C0D" w14:textId="77777777" w:rsidR="005B75CA" w:rsidRPr="00950167" w:rsidRDefault="005B75CA" w:rsidP="00667FC1">
            <w:pPr>
              <w:rPr>
                <w:rFonts w:ascii="Arial" w:hAnsi="Arial" w:cs="Arial"/>
                <w:sz w:val="24"/>
                <w:szCs w:val="24"/>
              </w:rPr>
            </w:pPr>
          </w:p>
        </w:tc>
      </w:tr>
      <w:tr w:rsidR="005B75CA" w:rsidRPr="00950167" w14:paraId="6942737C" w14:textId="77777777" w:rsidTr="00183E4A">
        <w:tc>
          <w:tcPr>
            <w:tcW w:w="987" w:type="dxa"/>
            <w:tcBorders>
              <w:top w:val="nil"/>
              <w:left w:val="nil"/>
              <w:bottom w:val="nil"/>
              <w:right w:val="nil"/>
            </w:tcBorders>
            <w:hideMark/>
          </w:tcPr>
          <w:p w14:paraId="741420AD" w14:textId="77777777" w:rsidR="005B75CA" w:rsidRPr="00950167" w:rsidRDefault="005B75CA" w:rsidP="00667FC1">
            <w:pPr>
              <w:rPr>
                <w:rFonts w:ascii="Arial" w:hAnsi="Arial" w:cs="Arial"/>
                <w:sz w:val="24"/>
                <w:szCs w:val="24"/>
              </w:rPr>
            </w:pPr>
            <w:r w:rsidRPr="00950167">
              <w:rPr>
                <w:rFonts w:ascii="Arial" w:hAnsi="Arial" w:cs="Arial"/>
                <w:sz w:val="24"/>
                <w:szCs w:val="24"/>
              </w:rPr>
              <w:t>Sponsor:</w:t>
            </w:r>
          </w:p>
        </w:tc>
        <w:tc>
          <w:tcPr>
            <w:tcW w:w="8368" w:type="dxa"/>
            <w:gridSpan w:val="2"/>
            <w:tcBorders>
              <w:top w:val="nil"/>
              <w:left w:val="nil"/>
              <w:bottom w:val="nil"/>
              <w:right w:val="nil"/>
            </w:tcBorders>
          </w:tcPr>
          <w:p w14:paraId="433690CC" w14:textId="6F03441D" w:rsidR="005B75CA" w:rsidRPr="00920036" w:rsidRDefault="002022A9" w:rsidP="00667FC1">
            <w:pPr>
              <w:rPr>
                <w:rFonts w:ascii="Arial" w:hAnsi="Arial" w:cs="Arial"/>
                <w:sz w:val="24"/>
                <w:szCs w:val="24"/>
              </w:rPr>
            </w:pPr>
            <w:r>
              <w:rPr>
                <w:rFonts w:ascii="Arial" w:hAnsi="Arial" w:cs="Arial"/>
                <w:sz w:val="24"/>
                <w:szCs w:val="24"/>
              </w:rPr>
              <w:t xml:space="preserve">Professor </w:t>
            </w:r>
            <w:r w:rsidR="008966A5">
              <w:rPr>
                <w:rFonts w:ascii="Arial" w:hAnsi="Arial" w:cs="Arial"/>
                <w:sz w:val="24"/>
                <w:szCs w:val="24"/>
              </w:rPr>
              <w:t>Susannah Quinsee</w:t>
            </w:r>
            <w:r>
              <w:rPr>
                <w:rFonts w:ascii="Arial" w:hAnsi="Arial" w:cs="Arial"/>
                <w:sz w:val="24"/>
                <w:szCs w:val="24"/>
              </w:rPr>
              <w:t>, Vice President</w:t>
            </w:r>
            <w:r w:rsidR="008966A5">
              <w:rPr>
                <w:rFonts w:ascii="Arial" w:hAnsi="Arial" w:cs="Arial"/>
                <w:sz w:val="24"/>
                <w:szCs w:val="24"/>
              </w:rPr>
              <w:t xml:space="preserve"> (Education)</w:t>
            </w:r>
            <w:r>
              <w:rPr>
                <w:rFonts w:ascii="Arial" w:hAnsi="Arial" w:cs="Arial"/>
                <w:sz w:val="24"/>
                <w:szCs w:val="24"/>
              </w:rPr>
              <w:t xml:space="preserve"> </w:t>
            </w:r>
          </w:p>
          <w:p w14:paraId="1F5DB701" w14:textId="77777777" w:rsidR="005B75CA" w:rsidRPr="00950167" w:rsidRDefault="005B75CA" w:rsidP="00667FC1">
            <w:pPr>
              <w:rPr>
                <w:rFonts w:ascii="Arial" w:hAnsi="Arial" w:cs="Arial"/>
                <w:sz w:val="24"/>
                <w:szCs w:val="24"/>
              </w:rPr>
            </w:pPr>
          </w:p>
        </w:tc>
      </w:tr>
      <w:tr w:rsidR="005B75CA" w:rsidRPr="00920036" w14:paraId="217411F7" w14:textId="77777777" w:rsidTr="00183E4A">
        <w:trPr>
          <w:trHeight w:val="340"/>
        </w:trPr>
        <w:tc>
          <w:tcPr>
            <w:tcW w:w="9355"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5538E2" w14:textId="77777777" w:rsidR="005B75CA" w:rsidRPr="00920036" w:rsidRDefault="005B75CA" w:rsidP="00667FC1">
            <w:pPr>
              <w:rPr>
                <w:rFonts w:ascii="Arial" w:hAnsi="Arial" w:cs="Arial"/>
                <w:b/>
                <w:sz w:val="24"/>
                <w:szCs w:val="24"/>
              </w:rPr>
            </w:pPr>
            <w:r w:rsidRPr="00920036">
              <w:rPr>
                <w:rFonts w:ascii="Arial" w:hAnsi="Arial" w:cs="Arial"/>
                <w:b/>
                <w:sz w:val="24"/>
                <w:szCs w:val="24"/>
              </w:rPr>
              <w:t>Executive summary</w:t>
            </w:r>
          </w:p>
        </w:tc>
      </w:tr>
      <w:tr w:rsidR="005B75CA" w:rsidRPr="00920036" w14:paraId="6416006A" w14:textId="77777777" w:rsidTr="00183E4A">
        <w:trPr>
          <w:trHeight w:val="255"/>
        </w:trPr>
        <w:tc>
          <w:tcPr>
            <w:tcW w:w="9355" w:type="dxa"/>
            <w:gridSpan w:val="3"/>
            <w:tcBorders>
              <w:top w:val="single" w:sz="4" w:space="0" w:color="auto"/>
              <w:left w:val="single" w:sz="4" w:space="0" w:color="auto"/>
              <w:bottom w:val="single" w:sz="4" w:space="0" w:color="auto"/>
              <w:right w:val="single" w:sz="4" w:space="0" w:color="auto"/>
            </w:tcBorders>
          </w:tcPr>
          <w:p w14:paraId="617593D2" w14:textId="11FCBF69" w:rsidR="00B4726C" w:rsidRPr="00920036" w:rsidRDefault="00B4726C" w:rsidP="00B4726C">
            <w:pPr>
              <w:pStyle w:val="NormalWeb"/>
              <w:rPr>
                <w:rFonts w:ascii="Arial" w:hAnsi="Arial" w:cs="Arial"/>
              </w:rPr>
            </w:pPr>
            <w:r w:rsidRPr="00920036">
              <w:rPr>
                <w:rFonts w:ascii="Arial" w:hAnsi="Arial" w:cs="Arial"/>
              </w:rPr>
              <w:t>This report provides an update on programme development activities undertaken by the University Programme Approval Committee (UPAC) and School Programme Approval and Review Committees (PARCs), on behalf of Boards of Studies, in 20</w:t>
            </w:r>
            <w:r w:rsidR="008966A5">
              <w:rPr>
                <w:rFonts w:ascii="Arial" w:hAnsi="Arial" w:cs="Arial"/>
              </w:rPr>
              <w:t>20</w:t>
            </w:r>
            <w:r w:rsidRPr="00920036">
              <w:rPr>
                <w:rFonts w:ascii="Arial" w:hAnsi="Arial" w:cs="Arial"/>
              </w:rPr>
              <w:t>/2</w:t>
            </w:r>
            <w:r w:rsidR="008966A5">
              <w:rPr>
                <w:rFonts w:ascii="Arial" w:hAnsi="Arial" w:cs="Arial"/>
              </w:rPr>
              <w:t>1</w:t>
            </w:r>
            <w:r w:rsidRPr="00920036">
              <w:rPr>
                <w:rFonts w:ascii="Arial" w:hAnsi="Arial" w:cs="Arial"/>
              </w:rPr>
              <w:t xml:space="preserve">. </w:t>
            </w:r>
          </w:p>
          <w:p w14:paraId="100C2332" w14:textId="310D6DA3" w:rsidR="00B4726C" w:rsidRPr="00920036" w:rsidRDefault="00B4726C" w:rsidP="00B4726C">
            <w:pPr>
              <w:pStyle w:val="NormalWeb"/>
              <w:rPr>
                <w:rFonts w:ascii="Arial" w:hAnsi="Arial" w:cs="Arial"/>
              </w:rPr>
            </w:pPr>
            <w:r w:rsidRPr="00920036">
              <w:rPr>
                <w:rFonts w:ascii="Arial" w:hAnsi="Arial" w:cs="Arial"/>
              </w:rPr>
              <w:t xml:space="preserve">It sets out the UPAC’s programme approvals, major amendments as well as suspensions and terminations of programmes during this academic year. The report also contains </w:t>
            </w:r>
            <w:r w:rsidR="008966A5">
              <w:rPr>
                <w:rFonts w:ascii="Arial" w:hAnsi="Arial" w:cs="Arial"/>
              </w:rPr>
              <w:t xml:space="preserve">summaries of </w:t>
            </w:r>
            <w:r w:rsidRPr="00920036">
              <w:rPr>
                <w:rFonts w:ascii="Arial" w:hAnsi="Arial" w:cs="Arial"/>
              </w:rPr>
              <w:t>minor amendment</w:t>
            </w:r>
            <w:r w:rsidR="008966A5">
              <w:rPr>
                <w:rFonts w:ascii="Arial" w:hAnsi="Arial" w:cs="Arial"/>
              </w:rPr>
              <w:t>s and programme re-design activity in 2020/21.</w:t>
            </w:r>
          </w:p>
          <w:p w14:paraId="729548C7" w14:textId="5C1D4DB7" w:rsidR="005B75CA" w:rsidRPr="00920036" w:rsidRDefault="00B4726C" w:rsidP="00B4726C">
            <w:pPr>
              <w:pStyle w:val="NormalWeb"/>
              <w:rPr>
                <w:rFonts w:ascii="Arial" w:hAnsi="Arial" w:cs="Arial"/>
              </w:rPr>
            </w:pPr>
            <w:r w:rsidRPr="00920036">
              <w:rPr>
                <w:rFonts w:ascii="Arial" w:hAnsi="Arial" w:cs="Arial"/>
              </w:rPr>
              <w:t>Where relevant the report provided recommendations and areas for improvements to be carried forward by the various responsible owners in 202</w:t>
            </w:r>
            <w:r w:rsidR="008966A5">
              <w:rPr>
                <w:rFonts w:ascii="Arial" w:hAnsi="Arial" w:cs="Arial"/>
              </w:rPr>
              <w:t>1</w:t>
            </w:r>
            <w:r w:rsidRPr="00920036">
              <w:rPr>
                <w:rFonts w:ascii="Arial" w:hAnsi="Arial" w:cs="Arial"/>
              </w:rPr>
              <w:t>/2</w:t>
            </w:r>
            <w:r w:rsidR="008966A5">
              <w:rPr>
                <w:rFonts w:ascii="Arial" w:hAnsi="Arial" w:cs="Arial"/>
              </w:rPr>
              <w:t>2</w:t>
            </w:r>
            <w:r w:rsidRPr="00920036">
              <w:rPr>
                <w:rFonts w:ascii="Arial" w:hAnsi="Arial" w:cs="Arial"/>
              </w:rPr>
              <w:t>.</w:t>
            </w:r>
          </w:p>
        </w:tc>
      </w:tr>
      <w:tr w:rsidR="005B75CA" w:rsidRPr="00920036" w14:paraId="75AEEEA6" w14:textId="77777777" w:rsidTr="00183E4A">
        <w:trPr>
          <w:trHeight w:val="278"/>
        </w:trPr>
        <w:tc>
          <w:tcPr>
            <w:tcW w:w="199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1AC1BE" w14:textId="77777777" w:rsidR="005B75CA" w:rsidRPr="00920036" w:rsidRDefault="005B75CA" w:rsidP="00667FC1">
            <w:pPr>
              <w:rPr>
                <w:rFonts w:ascii="Arial" w:hAnsi="Arial" w:cs="Arial"/>
                <w:b/>
                <w:sz w:val="24"/>
                <w:szCs w:val="24"/>
              </w:rPr>
            </w:pPr>
            <w:r w:rsidRPr="00920036">
              <w:rPr>
                <w:rFonts w:ascii="Arial" w:hAnsi="Arial" w:cs="Arial"/>
                <w:b/>
                <w:sz w:val="24"/>
                <w:szCs w:val="24"/>
              </w:rPr>
              <w:t>Action(s) required from the Committee:</w:t>
            </w:r>
          </w:p>
        </w:tc>
        <w:tc>
          <w:tcPr>
            <w:tcW w:w="7360" w:type="dxa"/>
            <w:tcBorders>
              <w:top w:val="single" w:sz="4" w:space="0" w:color="auto"/>
              <w:left w:val="single" w:sz="4" w:space="0" w:color="auto"/>
              <w:bottom w:val="single" w:sz="4" w:space="0" w:color="auto"/>
              <w:right w:val="single" w:sz="4" w:space="0" w:color="auto"/>
            </w:tcBorders>
          </w:tcPr>
          <w:p w14:paraId="0C876AB2" w14:textId="77777777" w:rsidR="005B75CA" w:rsidRPr="00920036" w:rsidRDefault="005B75CA" w:rsidP="00667FC1">
            <w:pPr>
              <w:rPr>
                <w:rFonts w:ascii="Arial" w:hAnsi="Arial" w:cs="Arial"/>
                <w:sz w:val="24"/>
                <w:szCs w:val="24"/>
              </w:rPr>
            </w:pPr>
          </w:p>
          <w:p w14:paraId="4214EBE1" w14:textId="77777777" w:rsidR="005B75CA" w:rsidRPr="00920036" w:rsidRDefault="005B75CA" w:rsidP="00667FC1">
            <w:pPr>
              <w:rPr>
                <w:rFonts w:ascii="Arial" w:eastAsia="Times New Roman" w:hAnsi="Arial" w:cs="Arial"/>
                <w:sz w:val="24"/>
                <w:szCs w:val="24"/>
              </w:rPr>
            </w:pPr>
            <w:r w:rsidRPr="00920036">
              <w:rPr>
                <w:rFonts w:ascii="Arial" w:eastAsia="Times New Roman" w:hAnsi="Arial" w:cs="Arial"/>
                <w:sz w:val="24"/>
                <w:szCs w:val="24"/>
              </w:rPr>
              <w:t xml:space="preserve">Educational Quality Committee is asked to </w:t>
            </w:r>
          </w:p>
          <w:p w14:paraId="37A9FFF0" w14:textId="77777777" w:rsidR="005B75CA" w:rsidRPr="00920036" w:rsidRDefault="005B75CA" w:rsidP="00667FC1">
            <w:pPr>
              <w:rPr>
                <w:rFonts w:ascii="Arial" w:eastAsia="Times New Roman" w:hAnsi="Arial" w:cs="Arial"/>
                <w:sz w:val="24"/>
                <w:szCs w:val="24"/>
              </w:rPr>
            </w:pPr>
          </w:p>
          <w:p w14:paraId="0FCC74EE" w14:textId="512117CE" w:rsidR="005B75CA" w:rsidRPr="00920036" w:rsidRDefault="005B75CA" w:rsidP="002C31B1">
            <w:pPr>
              <w:pStyle w:val="ListParagraph"/>
              <w:numPr>
                <w:ilvl w:val="0"/>
                <w:numId w:val="6"/>
              </w:numPr>
              <w:rPr>
                <w:rFonts w:ascii="Arial" w:eastAsia="Times New Roman" w:hAnsi="Arial" w:cs="Arial"/>
                <w:sz w:val="24"/>
                <w:szCs w:val="24"/>
              </w:rPr>
            </w:pPr>
            <w:r w:rsidRPr="00920036">
              <w:rPr>
                <w:rFonts w:ascii="Arial" w:eastAsia="Times New Roman" w:hAnsi="Arial" w:cs="Arial"/>
                <w:b/>
                <w:sz w:val="24"/>
                <w:szCs w:val="24"/>
              </w:rPr>
              <w:t xml:space="preserve">note </w:t>
            </w:r>
            <w:r w:rsidRPr="00920036">
              <w:rPr>
                <w:rFonts w:ascii="Arial" w:eastAsia="Times New Roman" w:hAnsi="Arial" w:cs="Arial"/>
                <w:sz w:val="24"/>
                <w:szCs w:val="24"/>
              </w:rPr>
              <w:t>the report</w:t>
            </w:r>
          </w:p>
          <w:p w14:paraId="31AE80AA" w14:textId="77777777" w:rsidR="005B75CA" w:rsidRPr="00920036" w:rsidRDefault="005B75CA" w:rsidP="00667FC1">
            <w:pPr>
              <w:pStyle w:val="ListParagraph"/>
              <w:ind w:left="585"/>
              <w:rPr>
                <w:rFonts w:ascii="Arial" w:eastAsia="Times New Roman" w:hAnsi="Arial" w:cs="Arial"/>
                <w:sz w:val="24"/>
                <w:szCs w:val="24"/>
              </w:rPr>
            </w:pPr>
          </w:p>
          <w:p w14:paraId="7D29BA2B" w14:textId="79E2CB68" w:rsidR="005B75CA" w:rsidRPr="00183E4A" w:rsidRDefault="00215038" w:rsidP="007D0CB1">
            <w:pPr>
              <w:pStyle w:val="NoSpacing"/>
              <w:numPr>
                <w:ilvl w:val="0"/>
                <w:numId w:val="6"/>
              </w:numPr>
              <w:rPr>
                <w:rFonts w:cs="Arial"/>
                <w:sz w:val="24"/>
                <w:szCs w:val="24"/>
              </w:rPr>
            </w:pPr>
            <w:r w:rsidRPr="00183E4A">
              <w:rPr>
                <w:rFonts w:cs="Arial"/>
                <w:b/>
                <w:sz w:val="24"/>
                <w:szCs w:val="24"/>
              </w:rPr>
              <w:t>approve</w:t>
            </w:r>
            <w:r w:rsidR="005B75CA" w:rsidRPr="00183E4A">
              <w:rPr>
                <w:rFonts w:cs="Arial"/>
                <w:b/>
                <w:sz w:val="24"/>
                <w:szCs w:val="24"/>
              </w:rPr>
              <w:t xml:space="preserve"> </w:t>
            </w:r>
            <w:r w:rsidR="005B75CA" w:rsidRPr="00183E4A">
              <w:rPr>
                <w:rFonts w:cs="Arial"/>
                <w:sz w:val="24"/>
                <w:szCs w:val="24"/>
              </w:rPr>
              <w:t xml:space="preserve">the </w:t>
            </w:r>
            <w:r w:rsidRPr="00183E4A">
              <w:rPr>
                <w:rFonts w:cs="Arial"/>
                <w:sz w:val="24"/>
                <w:szCs w:val="24"/>
              </w:rPr>
              <w:t>recommendation in Appendix A</w:t>
            </w:r>
            <w:r w:rsidR="000F1CCA" w:rsidRPr="00183E4A">
              <w:rPr>
                <w:rFonts w:cs="Arial"/>
                <w:sz w:val="24"/>
                <w:szCs w:val="24"/>
              </w:rPr>
              <w:t xml:space="preserve"> </w:t>
            </w:r>
          </w:p>
          <w:p w14:paraId="2B65A670" w14:textId="77777777" w:rsidR="005B75CA" w:rsidRPr="00920036" w:rsidRDefault="005B75CA" w:rsidP="005B75CA">
            <w:pPr>
              <w:pStyle w:val="NoSpacing"/>
              <w:ind w:left="1080"/>
              <w:rPr>
                <w:rFonts w:cs="Arial"/>
                <w:sz w:val="24"/>
                <w:szCs w:val="24"/>
              </w:rPr>
            </w:pPr>
          </w:p>
        </w:tc>
      </w:tr>
    </w:tbl>
    <w:p w14:paraId="7ADEC99E" w14:textId="77777777" w:rsidR="005B75CA" w:rsidRDefault="005B75CA" w:rsidP="005B75CA">
      <w:pPr>
        <w:rPr>
          <w:rFonts w:ascii="Arial" w:hAnsi="Arial" w:cs="Arial"/>
          <w:sz w:val="20"/>
          <w:szCs w:val="20"/>
        </w:rPr>
      </w:pPr>
    </w:p>
    <w:p w14:paraId="53065FF2" w14:textId="366C7C06" w:rsidR="005B75CA" w:rsidRDefault="005B75CA" w:rsidP="005B75CA">
      <w:pPr>
        <w:rPr>
          <w:rFonts w:ascii="Arial" w:hAnsi="Arial" w:cs="Arial"/>
          <w:sz w:val="20"/>
          <w:szCs w:val="20"/>
        </w:rPr>
      </w:pPr>
      <w:r>
        <w:rPr>
          <w:rFonts w:ascii="Arial" w:hAnsi="Arial" w:cs="Arial"/>
          <w:sz w:val="20"/>
          <w:szCs w:val="20"/>
        </w:rPr>
        <w:t>The table below outlines which committees/groups have already seen the report and the resulting outcome/action from discussions.</w:t>
      </w:r>
    </w:p>
    <w:tbl>
      <w:tblPr>
        <w:tblStyle w:val="TableGrid"/>
        <w:tblW w:w="0" w:type="auto"/>
        <w:tblLook w:val="04A0" w:firstRow="1" w:lastRow="0" w:firstColumn="1" w:lastColumn="0" w:noHBand="0" w:noVBand="1"/>
      </w:tblPr>
      <w:tblGrid>
        <w:gridCol w:w="1720"/>
        <w:gridCol w:w="1972"/>
        <w:gridCol w:w="2901"/>
        <w:gridCol w:w="1318"/>
        <w:gridCol w:w="2149"/>
      </w:tblGrid>
      <w:tr w:rsidR="005B75CA" w14:paraId="53E1F162" w14:textId="77777777" w:rsidTr="00183E4A">
        <w:trPr>
          <w:trHeight w:val="340"/>
          <w:tblHeader/>
        </w:trPr>
        <w:tc>
          <w:tcPr>
            <w:tcW w:w="17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9BBAAE" w14:textId="77777777" w:rsidR="005B75CA" w:rsidRDefault="005B75CA" w:rsidP="00667FC1">
            <w:pPr>
              <w:rPr>
                <w:rFonts w:ascii="Arial" w:hAnsi="Arial" w:cs="Arial"/>
                <w:b/>
                <w:sz w:val="20"/>
                <w:szCs w:val="20"/>
              </w:rPr>
            </w:pPr>
            <w:r>
              <w:rPr>
                <w:rFonts w:ascii="Arial" w:hAnsi="Arial" w:cs="Arial"/>
                <w:b/>
                <w:sz w:val="20"/>
                <w:szCs w:val="20"/>
              </w:rPr>
              <w:t>Committee date</w:t>
            </w:r>
          </w:p>
        </w:tc>
        <w:tc>
          <w:tcPr>
            <w:tcW w:w="197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55710B" w14:textId="77777777" w:rsidR="005B75CA" w:rsidRDefault="005B75CA" w:rsidP="00667FC1">
            <w:pPr>
              <w:rPr>
                <w:rFonts w:ascii="Arial" w:hAnsi="Arial" w:cs="Arial"/>
                <w:b/>
                <w:sz w:val="20"/>
                <w:szCs w:val="20"/>
              </w:rPr>
            </w:pPr>
            <w:r>
              <w:rPr>
                <w:rFonts w:ascii="Arial" w:hAnsi="Arial" w:cs="Arial"/>
                <w:b/>
                <w:sz w:val="20"/>
                <w:szCs w:val="20"/>
              </w:rPr>
              <w:t>Committee title</w:t>
            </w:r>
          </w:p>
        </w:tc>
        <w:tc>
          <w:tcPr>
            <w:tcW w:w="29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DE5F94" w14:textId="77777777" w:rsidR="005B75CA" w:rsidRDefault="005B75CA" w:rsidP="00667FC1">
            <w:pPr>
              <w:rPr>
                <w:rFonts w:ascii="Arial" w:hAnsi="Arial" w:cs="Arial"/>
                <w:b/>
                <w:sz w:val="20"/>
                <w:szCs w:val="20"/>
              </w:rPr>
            </w:pPr>
            <w:r>
              <w:rPr>
                <w:rFonts w:ascii="Arial" w:hAnsi="Arial" w:cs="Arial"/>
                <w:b/>
                <w:sz w:val="20"/>
                <w:szCs w:val="20"/>
              </w:rPr>
              <w:t>Outcome/action</w:t>
            </w:r>
          </w:p>
        </w:tc>
        <w:tc>
          <w:tcPr>
            <w:tcW w:w="13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058D86" w14:textId="77777777" w:rsidR="005B75CA" w:rsidRDefault="005B75CA" w:rsidP="00667FC1">
            <w:pPr>
              <w:rPr>
                <w:rFonts w:ascii="Arial" w:hAnsi="Arial" w:cs="Arial"/>
                <w:b/>
                <w:sz w:val="20"/>
                <w:szCs w:val="20"/>
              </w:rPr>
            </w:pPr>
            <w:r>
              <w:rPr>
                <w:rFonts w:ascii="Arial" w:hAnsi="Arial" w:cs="Arial"/>
                <w:b/>
                <w:sz w:val="20"/>
                <w:szCs w:val="20"/>
              </w:rPr>
              <w:t>Action date</w:t>
            </w:r>
          </w:p>
        </w:tc>
        <w:tc>
          <w:tcPr>
            <w:tcW w:w="214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1348EF" w14:textId="77777777" w:rsidR="005B75CA" w:rsidRDefault="005B75CA" w:rsidP="00667FC1">
            <w:pPr>
              <w:rPr>
                <w:rFonts w:ascii="Arial" w:hAnsi="Arial" w:cs="Arial"/>
                <w:b/>
                <w:sz w:val="20"/>
                <w:szCs w:val="20"/>
              </w:rPr>
            </w:pPr>
            <w:r>
              <w:rPr>
                <w:rFonts w:ascii="Arial" w:hAnsi="Arial" w:cs="Arial"/>
                <w:b/>
                <w:sz w:val="20"/>
                <w:szCs w:val="20"/>
              </w:rPr>
              <w:t>Paper version number</w:t>
            </w:r>
          </w:p>
        </w:tc>
      </w:tr>
      <w:tr w:rsidR="005B75CA" w14:paraId="61987A2C" w14:textId="77777777" w:rsidTr="00183E4A">
        <w:tc>
          <w:tcPr>
            <w:tcW w:w="1720" w:type="dxa"/>
            <w:tcBorders>
              <w:top w:val="single" w:sz="4" w:space="0" w:color="auto"/>
              <w:left w:val="single" w:sz="4" w:space="0" w:color="auto"/>
              <w:bottom w:val="single" w:sz="4" w:space="0" w:color="auto"/>
              <w:right w:val="single" w:sz="4" w:space="0" w:color="auto"/>
            </w:tcBorders>
          </w:tcPr>
          <w:p w14:paraId="1DF62069" w14:textId="77777777" w:rsidR="005B75CA" w:rsidRDefault="005B75CA" w:rsidP="00667FC1">
            <w:pPr>
              <w:jc w:val="center"/>
              <w:rPr>
                <w:rFonts w:ascii="Arial" w:hAnsi="Arial" w:cs="Arial"/>
                <w:sz w:val="20"/>
                <w:szCs w:val="20"/>
              </w:rPr>
            </w:pPr>
          </w:p>
        </w:tc>
        <w:tc>
          <w:tcPr>
            <w:tcW w:w="1972" w:type="dxa"/>
            <w:tcBorders>
              <w:top w:val="single" w:sz="4" w:space="0" w:color="auto"/>
              <w:left w:val="single" w:sz="4" w:space="0" w:color="auto"/>
              <w:bottom w:val="single" w:sz="4" w:space="0" w:color="auto"/>
              <w:right w:val="single" w:sz="4" w:space="0" w:color="auto"/>
            </w:tcBorders>
          </w:tcPr>
          <w:p w14:paraId="06460D87" w14:textId="77777777" w:rsidR="005B75CA" w:rsidRDefault="005B75CA" w:rsidP="00667FC1">
            <w:pPr>
              <w:rPr>
                <w:rFonts w:ascii="Arial" w:hAnsi="Arial" w:cs="Arial"/>
                <w:sz w:val="20"/>
                <w:szCs w:val="20"/>
              </w:rPr>
            </w:pPr>
          </w:p>
        </w:tc>
        <w:tc>
          <w:tcPr>
            <w:tcW w:w="2901" w:type="dxa"/>
            <w:tcBorders>
              <w:top w:val="single" w:sz="4" w:space="0" w:color="auto"/>
              <w:left w:val="single" w:sz="4" w:space="0" w:color="auto"/>
              <w:bottom w:val="single" w:sz="4" w:space="0" w:color="auto"/>
              <w:right w:val="single" w:sz="4" w:space="0" w:color="auto"/>
            </w:tcBorders>
          </w:tcPr>
          <w:p w14:paraId="48819C0E" w14:textId="77777777" w:rsidR="005B75CA" w:rsidRDefault="005B75CA" w:rsidP="00667FC1">
            <w:pPr>
              <w:rPr>
                <w:rFonts w:ascii="Arial" w:hAnsi="Arial" w:cs="Arial"/>
                <w:sz w:val="20"/>
                <w:szCs w:val="20"/>
              </w:rPr>
            </w:pPr>
          </w:p>
        </w:tc>
        <w:tc>
          <w:tcPr>
            <w:tcW w:w="1318" w:type="dxa"/>
            <w:tcBorders>
              <w:top w:val="single" w:sz="4" w:space="0" w:color="auto"/>
              <w:left w:val="single" w:sz="4" w:space="0" w:color="auto"/>
              <w:bottom w:val="single" w:sz="4" w:space="0" w:color="auto"/>
              <w:right w:val="single" w:sz="4" w:space="0" w:color="auto"/>
            </w:tcBorders>
          </w:tcPr>
          <w:p w14:paraId="2F4C9EC7" w14:textId="77777777" w:rsidR="005B75CA" w:rsidRDefault="005B75CA" w:rsidP="00667FC1">
            <w:pPr>
              <w:jc w:val="center"/>
              <w:rPr>
                <w:rFonts w:ascii="Arial" w:hAnsi="Arial" w:cs="Arial"/>
                <w:sz w:val="20"/>
                <w:szCs w:val="20"/>
              </w:rPr>
            </w:pPr>
          </w:p>
        </w:tc>
        <w:tc>
          <w:tcPr>
            <w:tcW w:w="2149" w:type="dxa"/>
            <w:tcBorders>
              <w:top w:val="single" w:sz="4" w:space="0" w:color="auto"/>
              <w:left w:val="single" w:sz="4" w:space="0" w:color="auto"/>
              <w:bottom w:val="single" w:sz="4" w:space="0" w:color="auto"/>
              <w:right w:val="single" w:sz="4" w:space="0" w:color="auto"/>
            </w:tcBorders>
          </w:tcPr>
          <w:p w14:paraId="2973FC08" w14:textId="77777777" w:rsidR="005B75CA" w:rsidRDefault="005B75CA" w:rsidP="00667FC1">
            <w:pPr>
              <w:jc w:val="center"/>
              <w:rPr>
                <w:rFonts w:ascii="Arial" w:hAnsi="Arial" w:cs="Arial"/>
                <w:sz w:val="20"/>
                <w:szCs w:val="20"/>
              </w:rPr>
            </w:pPr>
          </w:p>
        </w:tc>
      </w:tr>
      <w:tr w:rsidR="005B75CA" w14:paraId="15FDE3E2" w14:textId="77777777" w:rsidTr="00183E4A">
        <w:tc>
          <w:tcPr>
            <w:tcW w:w="1720" w:type="dxa"/>
            <w:tcBorders>
              <w:top w:val="single" w:sz="4" w:space="0" w:color="auto"/>
              <w:left w:val="single" w:sz="4" w:space="0" w:color="auto"/>
              <w:bottom w:val="single" w:sz="4" w:space="0" w:color="auto"/>
              <w:right w:val="single" w:sz="4" w:space="0" w:color="auto"/>
            </w:tcBorders>
          </w:tcPr>
          <w:p w14:paraId="3193DDD3" w14:textId="77777777" w:rsidR="005B75CA" w:rsidRDefault="005B75CA" w:rsidP="00667FC1">
            <w:pPr>
              <w:rPr>
                <w:rFonts w:ascii="Arial" w:hAnsi="Arial" w:cs="Arial"/>
                <w:sz w:val="20"/>
                <w:szCs w:val="20"/>
              </w:rPr>
            </w:pPr>
          </w:p>
        </w:tc>
        <w:tc>
          <w:tcPr>
            <w:tcW w:w="1972" w:type="dxa"/>
            <w:tcBorders>
              <w:top w:val="single" w:sz="4" w:space="0" w:color="auto"/>
              <w:left w:val="single" w:sz="4" w:space="0" w:color="auto"/>
              <w:bottom w:val="single" w:sz="4" w:space="0" w:color="auto"/>
              <w:right w:val="single" w:sz="4" w:space="0" w:color="auto"/>
            </w:tcBorders>
          </w:tcPr>
          <w:p w14:paraId="10B1BA74" w14:textId="77777777" w:rsidR="005B75CA" w:rsidRDefault="005B75CA" w:rsidP="00667FC1">
            <w:pPr>
              <w:rPr>
                <w:rFonts w:ascii="Arial" w:hAnsi="Arial" w:cs="Arial"/>
                <w:sz w:val="20"/>
                <w:szCs w:val="20"/>
              </w:rPr>
            </w:pPr>
          </w:p>
        </w:tc>
        <w:tc>
          <w:tcPr>
            <w:tcW w:w="2901" w:type="dxa"/>
            <w:tcBorders>
              <w:top w:val="single" w:sz="4" w:space="0" w:color="auto"/>
              <w:left w:val="single" w:sz="4" w:space="0" w:color="auto"/>
              <w:bottom w:val="single" w:sz="4" w:space="0" w:color="auto"/>
              <w:right w:val="single" w:sz="4" w:space="0" w:color="auto"/>
            </w:tcBorders>
          </w:tcPr>
          <w:p w14:paraId="0D4A9C9B" w14:textId="77777777" w:rsidR="005B75CA" w:rsidRDefault="005B75CA" w:rsidP="00667FC1">
            <w:pPr>
              <w:rPr>
                <w:rFonts w:ascii="Arial" w:hAnsi="Arial" w:cs="Arial"/>
                <w:sz w:val="20"/>
                <w:szCs w:val="20"/>
              </w:rPr>
            </w:pPr>
          </w:p>
        </w:tc>
        <w:tc>
          <w:tcPr>
            <w:tcW w:w="1318" w:type="dxa"/>
            <w:tcBorders>
              <w:top w:val="single" w:sz="4" w:space="0" w:color="auto"/>
              <w:left w:val="single" w:sz="4" w:space="0" w:color="auto"/>
              <w:bottom w:val="single" w:sz="4" w:space="0" w:color="auto"/>
              <w:right w:val="single" w:sz="4" w:space="0" w:color="auto"/>
            </w:tcBorders>
          </w:tcPr>
          <w:p w14:paraId="02669D16" w14:textId="77777777" w:rsidR="005B75CA" w:rsidRDefault="005B75CA" w:rsidP="00667FC1">
            <w:pPr>
              <w:jc w:val="center"/>
              <w:rPr>
                <w:rFonts w:ascii="Arial" w:hAnsi="Arial" w:cs="Arial"/>
                <w:sz w:val="20"/>
                <w:szCs w:val="20"/>
              </w:rPr>
            </w:pPr>
          </w:p>
        </w:tc>
        <w:tc>
          <w:tcPr>
            <w:tcW w:w="2149" w:type="dxa"/>
            <w:tcBorders>
              <w:top w:val="single" w:sz="4" w:space="0" w:color="auto"/>
              <w:left w:val="single" w:sz="4" w:space="0" w:color="auto"/>
              <w:bottom w:val="single" w:sz="4" w:space="0" w:color="auto"/>
              <w:right w:val="single" w:sz="4" w:space="0" w:color="auto"/>
            </w:tcBorders>
          </w:tcPr>
          <w:p w14:paraId="35A50001" w14:textId="77777777" w:rsidR="005B75CA" w:rsidRDefault="005B75CA" w:rsidP="00667FC1">
            <w:pPr>
              <w:jc w:val="center"/>
              <w:rPr>
                <w:rFonts w:ascii="Arial" w:hAnsi="Arial" w:cs="Arial"/>
                <w:sz w:val="20"/>
                <w:szCs w:val="20"/>
              </w:rPr>
            </w:pPr>
          </w:p>
        </w:tc>
      </w:tr>
      <w:tr w:rsidR="005B75CA" w14:paraId="4114391B" w14:textId="77777777" w:rsidTr="00183E4A">
        <w:tc>
          <w:tcPr>
            <w:tcW w:w="1720" w:type="dxa"/>
            <w:tcBorders>
              <w:top w:val="single" w:sz="4" w:space="0" w:color="auto"/>
              <w:left w:val="single" w:sz="4" w:space="0" w:color="auto"/>
              <w:bottom w:val="single" w:sz="4" w:space="0" w:color="auto"/>
              <w:right w:val="single" w:sz="4" w:space="0" w:color="auto"/>
            </w:tcBorders>
          </w:tcPr>
          <w:p w14:paraId="481C2473" w14:textId="77777777" w:rsidR="005B75CA" w:rsidRDefault="005B75CA" w:rsidP="00667FC1">
            <w:pPr>
              <w:rPr>
                <w:rFonts w:ascii="Arial" w:hAnsi="Arial" w:cs="Arial"/>
                <w:sz w:val="20"/>
                <w:szCs w:val="20"/>
              </w:rPr>
            </w:pPr>
          </w:p>
        </w:tc>
        <w:tc>
          <w:tcPr>
            <w:tcW w:w="1972" w:type="dxa"/>
            <w:tcBorders>
              <w:top w:val="single" w:sz="4" w:space="0" w:color="auto"/>
              <w:left w:val="single" w:sz="4" w:space="0" w:color="auto"/>
              <w:bottom w:val="single" w:sz="4" w:space="0" w:color="auto"/>
              <w:right w:val="single" w:sz="4" w:space="0" w:color="auto"/>
            </w:tcBorders>
          </w:tcPr>
          <w:p w14:paraId="7AAF3753" w14:textId="77777777" w:rsidR="005B75CA" w:rsidRDefault="005B75CA" w:rsidP="00667FC1">
            <w:pPr>
              <w:rPr>
                <w:rFonts w:ascii="Arial" w:hAnsi="Arial" w:cs="Arial"/>
                <w:sz w:val="20"/>
                <w:szCs w:val="20"/>
              </w:rPr>
            </w:pPr>
          </w:p>
        </w:tc>
        <w:tc>
          <w:tcPr>
            <w:tcW w:w="2901" w:type="dxa"/>
            <w:tcBorders>
              <w:top w:val="single" w:sz="4" w:space="0" w:color="auto"/>
              <w:left w:val="single" w:sz="4" w:space="0" w:color="auto"/>
              <w:bottom w:val="single" w:sz="4" w:space="0" w:color="auto"/>
              <w:right w:val="single" w:sz="4" w:space="0" w:color="auto"/>
            </w:tcBorders>
          </w:tcPr>
          <w:p w14:paraId="2EEA6C68" w14:textId="77777777" w:rsidR="005B75CA" w:rsidRDefault="005B75CA" w:rsidP="00667FC1">
            <w:pPr>
              <w:rPr>
                <w:rFonts w:ascii="Arial" w:hAnsi="Arial" w:cs="Arial"/>
                <w:sz w:val="20"/>
                <w:szCs w:val="20"/>
              </w:rPr>
            </w:pPr>
          </w:p>
        </w:tc>
        <w:tc>
          <w:tcPr>
            <w:tcW w:w="1318" w:type="dxa"/>
            <w:tcBorders>
              <w:top w:val="single" w:sz="4" w:space="0" w:color="auto"/>
              <w:left w:val="single" w:sz="4" w:space="0" w:color="auto"/>
              <w:bottom w:val="single" w:sz="4" w:space="0" w:color="auto"/>
              <w:right w:val="single" w:sz="4" w:space="0" w:color="auto"/>
            </w:tcBorders>
          </w:tcPr>
          <w:p w14:paraId="724D91FE" w14:textId="77777777" w:rsidR="005B75CA" w:rsidRDefault="005B75CA" w:rsidP="00667FC1">
            <w:pPr>
              <w:jc w:val="center"/>
              <w:rPr>
                <w:rFonts w:ascii="Arial" w:hAnsi="Arial" w:cs="Arial"/>
                <w:sz w:val="20"/>
                <w:szCs w:val="20"/>
              </w:rPr>
            </w:pPr>
          </w:p>
        </w:tc>
        <w:tc>
          <w:tcPr>
            <w:tcW w:w="2149" w:type="dxa"/>
            <w:tcBorders>
              <w:top w:val="single" w:sz="4" w:space="0" w:color="auto"/>
              <w:left w:val="single" w:sz="4" w:space="0" w:color="auto"/>
              <w:bottom w:val="single" w:sz="4" w:space="0" w:color="auto"/>
              <w:right w:val="single" w:sz="4" w:space="0" w:color="auto"/>
            </w:tcBorders>
          </w:tcPr>
          <w:p w14:paraId="24E6B0AA" w14:textId="77777777" w:rsidR="005B75CA" w:rsidRDefault="005B75CA" w:rsidP="00667FC1">
            <w:pPr>
              <w:jc w:val="center"/>
              <w:rPr>
                <w:rFonts w:ascii="Arial" w:hAnsi="Arial" w:cs="Arial"/>
                <w:sz w:val="20"/>
                <w:szCs w:val="20"/>
              </w:rPr>
            </w:pPr>
          </w:p>
        </w:tc>
      </w:tr>
    </w:tbl>
    <w:p w14:paraId="5A3E9E74" w14:textId="191DCA2A" w:rsidR="005B75CA" w:rsidRDefault="005B75CA" w:rsidP="005B75CA">
      <w:pPr>
        <w:jc w:val="both"/>
        <w:sectPr w:rsidR="005B75CA" w:rsidSect="005B75C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Pr>
    </w:p>
    <w:p w14:paraId="483FF985" w14:textId="5F1424C5" w:rsidR="00B459F0" w:rsidRPr="00920036" w:rsidRDefault="00B4726C" w:rsidP="00B4726C">
      <w:pPr>
        <w:rPr>
          <w:rFonts w:ascii="Arial" w:hAnsi="Arial" w:cs="Arial"/>
          <w:b/>
          <w:sz w:val="24"/>
          <w:szCs w:val="24"/>
        </w:rPr>
      </w:pPr>
      <w:r w:rsidRPr="00920036">
        <w:rPr>
          <w:rFonts w:ascii="Arial" w:hAnsi="Arial" w:cs="Arial"/>
          <w:b/>
          <w:sz w:val="24"/>
          <w:szCs w:val="24"/>
        </w:rPr>
        <w:lastRenderedPageBreak/>
        <w:t>Programme Developments: University Programme Approval committee and School Programme Approval and Review Committees </w:t>
      </w:r>
    </w:p>
    <w:p w14:paraId="2543F79A" w14:textId="5C4313D0" w:rsidR="00555082" w:rsidRPr="00920036" w:rsidRDefault="00B4726C" w:rsidP="00B459F0">
      <w:pPr>
        <w:rPr>
          <w:rFonts w:ascii="Arial" w:hAnsi="Arial" w:cs="Arial"/>
          <w:b/>
          <w:sz w:val="24"/>
          <w:szCs w:val="24"/>
        </w:rPr>
      </w:pPr>
      <w:r w:rsidRPr="00920036">
        <w:rPr>
          <w:rFonts w:ascii="Arial" w:hAnsi="Arial" w:cs="Arial"/>
          <w:b/>
          <w:sz w:val="24"/>
          <w:szCs w:val="24"/>
        </w:rPr>
        <w:t xml:space="preserve">Introduction </w:t>
      </w:r>
    </w:p>
    <w:p w14:paraId="6147D5A0" w14:textId="4F68F4EB" w:rsidR="00B4726C" w:rsidRPr="008A707D" w:rsidRDefault="002022A9" w:rsidP="00B4726C">
      <w:pPr>
        <w:rPr>
          <w:rFonts w:ascii="Arial" w:hAnsi="Arial" w:cs="Arial"/>
          <w:sz w:val="24"/>
          <w:szCs w:val="24"/>
        </w:rPr>
      </w:pPr>
      <w:r w:rsidRPr="008A707D">
        <w:rPr>
          <w:rFonts w:ascii="Arial" w:hAnsi="Arial" w:cs="Arial"/>
          <w:sz w:val="24"/>
          <w:szCs w:val="24"/>
        </w:rPr>
        <w:t>This report provide</w:t>
      </w:r>
      <w:r w:rsidR="00C249E4">
        <w:rPr>
          <w:rFonts w:ascii="Arial" w:hAnsi="Arial" w:cs="Arial"/>
          <w:sz w:val="24"/>
          <w:szCs w:val="24"/>
        </w:rPr>
        <w:t>s</w:t>
      </w:r>
      <w:r w:rsidRPr="008A707D">
        <w:rPr>
          <w:rFonts w:ascii="Arial" w:hAnsi="Arial" w:cs="Arial"/>
          <w:sz w:val="24"/>
          <w:szCs w:val="24"/>
        </w:rPr>
        <w:t xml:space="preserve"> a generic overview of programme approval and amendment activities, reflecting on activities during the academic year with a view to identifying process improvements</w:t>
      </w:r>
      <w:r w:rsidR="00C249E4">
        <w:rPr>
          <w:rFonts w:ascii="Arial" w:hAnsi="Arial" w:cs="Arial"/>
          <w:sz w:val="24"/>
          <w:szCs w:val="24"/>
        </w:rPr>
        <w:t xml:space="preserve">. </w:t>
      </w:r>
      <w:r w:rsidR="0092677C" w:rsidRPr="008A707D">
        <w:rPr>
          <w:rFonts w:ascii="Arial" w:hAnsi="Arial" w:cs="Arial"/>
          <w:sz w:val="24"/>
          <w:szCs w:val="24"/>
        </w:rPr>
        <w:t>Due to Covid</w:t>
      </w:r>
      <w:r w:rsidR="00C249E4">
        <w:rPr>
          <w:rFonts w:ascii="Arial" w:hAnsi="Arial" w:cs="Arial"/>
          <w:sz w:val="24"/>
          <w:szCs w:val="24"/>
        </w:rPr>
        <w:t>-19</w:t>
      </w:r>
      <w:r w:rsidR="0092677C" w:rsidRPr="008A707D">
        <w:rPr>
          <w:rFonts w:ascii="Arial" w:hAnsi="Arial" w:cs="Arial"/>
          <w:sz w:val="24"/>
          <w:szCs w:val="24"/>
        </w:rPr>
        <w:t xml:space="preserve"> and Programme Redesign,</w:t>
      </w:r>
      <w:r w:rsidR="00F2209B">
        <w:rPr>
          <w:rFonts w:ascii="Arial" w:hAnsi="Arial" w:cs="Arial"/>
          <w:sz w:val="24"/>
          <w:szCs w:val="24"/>
        </w:rPr>
        <w:t xml:space="preserve"> and as per 2019/20,</w:t>
      </w:r>
      <w:r w:rsidR="0092677C" w:rsidRPr="008A707D">
        <w:rPr>
          <w:rFonts w:ascii="Arial" w:hAnsi="Arial" w:cs="Arial"/>
          <w:sz w:val="24"/>
          <w:szCs w:val="24"/>
        </w:rPr>
        <w:t xml:space="preserve"> this was not reflective of a typical year</w:t>
      </w:r>
      <w:r w:rsidR="00106F4D">
        <w:rPr>
          <w:rFonts w:ascii="Arial" w:hAnsi="Arial" w:cs="Arial"/>
          <w:sz w:val="24"/>
          <w:szCs w:val="24"/>
        </w:rPr>
        <w:t xml:space="preserve"> and </w:t>
      </w:r>
      <w:r w:rsidR="00412C95">
        <w:rPr>
          <w:rFonts w:ascii="Arial" w:hAnsi="Arial" w:cs="Arial"/>
          <w:sz w:val="24"/>
          <w:szCs w:val="24"/>
        </w:rPr>
        <w:t>the content of this paper should be viewed in that context.</w:t>
      </w:r>
      <w:r w:rsidR="0092677C">
        <w:rPr>
          <w:rFonts w:ascii="Arial" w:hAnsi="Arial" w:cs="Arial"/>
          <w:sz w:val="24"/>
          <w:szCs w:val="24"/>
        </w:rPr>
        <w:t xml:space="preserve"> </w:t>
      </w:r>
    </w:p>
    <w:p w14:paraId="0AFBB892" w14:textId="4EA1938B" w:rsidR="00667FC1" w:rsidRPr="00920036" w:rsidRDefault="00667FC1" w:rsidP="00B4726C">
      <w:pPr>
        <w:pStyle w:val="ListParagraph"/>
        <w:numPr>
          <w:ilvl w:val="0"/>
          <w:numId w:val="20"/>
        </w:numPr>
        <w:rPr>
          <w:rFonts w:ascii="Arial" w:hAnsi="Arial" w:cs="Arial"/>
          <w:b/>
          <w:sz w:val="24"/>
          <w:szCs w:val="24"/>
        </w:rPr>
      </w:pPr>
      <w:r w:rsidRPr="00920036">
        <w:rPr>
          <w:rFonts w:ascii="Arial" w:hAnsi="Arial" w:cs="Arial"/>
          <w:b/>
          <w:sz w:val="24"/>
          <w:szCs w:val="24"/>
        </w:rPr>
        <w:t>University Programme Approval Committee (UPAC)</w:t>
      </w:r>
      <w:r w:rsidR="0022351E" w:rsidRPr="00920036">
        <w:rPr>
          <w:rFonts w:ascii="Arial" w:hAnsi="Arial" w:cs="Arial"/>
          <w:b/>
          <w:sz w:val="24"/>
          <w:szCs w:val="24"/>
        </w:rPr>
        <w:t xml:space="preserve"> - </w:t>
      </w:r>
      <w:r w:rsidR="00CE7013">
        <w:rPr>
          <w:rFonts w:ascii="Arial" w:hAnsi="Arial" w:cs="Arial"/>
          <w:b/>
          <w:sz w:val="24"/>
          <w:szCs w:val="24"/>
        </w:rPr>
        <w:t>N</w:t>
      </w:r>
      <w:r w:rsidRPr="00920036">
        <w:rPr>
          <w:rFonts w:ascii="Arial" w:hAnsi="Arial" w:cs="Arial"/>
          <w:b/>
          <w:sz w:val="24"/>
          <w:szCs w:val="24"/>
        </w:rPr>
        <w:t xml:space="preserve">ew </w:t>
      </w:r>
      <w:r w:rsidR="00CE7013">
        <w:rPr>
          <w:rFonts w:ascii="Arial" w:hAnsi="Arial" w:cs="Arial"/>
          <w:b/>
          <w:sz w:val="24"/>
          <w:szCs w:val="24"/>
        </w:rPr>
        <w:t>P</w:t>
      </w:r>
      <w:r w:rsidRPr="00920036">
        <w:rPr>
          <w:rFonts w:ascii="Arial" w:hAnsi="Arial" w:cs="Arial"/>
          <w:b/>
          <w:sz w:val="24"/>
          <w:szCs w:val="24"/>
        </w:rPr>
        <w:t>rogrammes</w:t>
      </w:r>
    </w:p>
    <w:p w14:paraId="5DF06CE0" w14:textId="62E9B77D" w:rsidR="002B4A30" w:rsidRPr="00920036" w:rsidRDefault="002B4A30" w:rsidP="00555082">
      <w:pPr>
        <w:rPr>
          <w:rFonts w:ascii="Arial" w:hAnsi="Arial" w:cs="Arial"/>
          <w:sz w:val="24"/>
          <w:szCs w:val="24"/>
        </w:rPr>
      </w:pPr>
      <w:r w:rsidRPr="00920036">
        <w:rPr>
          <w:rFonts w:ascii="Arial" w:hAnsi="Arial" w:cs="Arial"/>
          <w:sz w:val="24"/>
          <w:szCs w:val="24"/>
        </w:rPr>
        <w:t>As part of the University’s mitigation</w:t>
      </w:r>
      <w:r w:rsidR="006B1447" w:rsidRPr="00920036">
        <w:rPr>
          <w:rFonts w:ascii="Arial" w:hAnsi="Arial" w:cs="Arial"/>
          <w:sz w:val="24"/>
          <w:szCs w:val="24"/>
        </w:rPr>
        <w:t>s</w:t>
      </w:r>
      <w:r w:rsidRPr="00920036">
        <w:rPr>
          <w:rFonts w:ascii="Arial" w:hAnsi="Arial" w:cs="Arial"/>
          <w:sz w:val="24"/>
          <w:szCs w:val="24"/>
        </w:rPr>
        <w:t xml:space="preserve"> in light of the COVID-19 outbreak, Schools have been</w:t>
      </w:r>
      <w:r w:rsidR="00412C95">
        <w:rPr>
          <w:rFonts w:ascii="Arial" w:hAnsi="Arial" w:cs="Arial"/>
          <w:sz w:val="24"/>
          <w:szCs w:val="24"/>
        </w:rPr>
        <w:t xml:space="preserve"> primarily</w:t>
      </w:r>
      <w:r w:rsidRPr="00920036">
        <w:rPr>
          <w:rFonts w:ascii="Arial" w:hAnsi="Arial" w:cs="Arial"/>
          <w:sz w:val="24"/>
          <w:szCs w:val="24"/>
        </w:rPr>
        <w:t xml:space="preserve"> working on </w:t>
      </w:r>
      <w:r w:rsidR="00412C95">
        <w:rPr>
          <w:rFonts w:ascii="Arial" w:hAnsi="Arial" w:cs="Arial"/>
          <w:sz w:val="24"/>
          <w:szCs w:val="24"/>
        </w:rPr>
        <w:t>programme amendments and p</w:t>
      </w:r>
      <w:r w:rsidRPr="00920036">
        <w:rPr>
          <w:rFonts w:ascii="Arial" w:hAnsi="Arial" w:cs="Arial"/>
          <w:sz w:val="24"/>
          <w:szCs w:val="24"/>
        </w:rPr>
        <w:t xml:space="preserve">rogramme </w:t>
      </w:r>
      <w:r w:rsidR="00412C95">
        <w:rPr>
          <w:rFonts w:ascii="Arial" w:hAnsi="Arial" w:cs="Arial"/>
          <w:sz w:val="24"/>
          <w:szCs w:val="24"/>
        </w:rPr>
        <w:t>r</w:t>
      </w:r>
      <w:r w:rsidRPr="00920036">
        <w:rPr>
          <w:rFonts w:ascii="Arial" w:hAnsi="Arial" w:cs="Arial"/>
          <w:sz w:val="24"/>
          <w:szCs w:val="24"/>
        </w:rPr>
        <w:t>e-</w:t>
      </w:r>
      <w:r w:rsidR="00412C95">
        <w:rPr>
          <w:rFonts w:ascii="Arial" w:hAnsi="Arial" w:cs="Arial"/>
          <w:sz w:val="24"/>
          <w:szCs w:val="24"/>
        </w:rPr>
        <w:t>d</w:t>
      </w:r>
      <w:r w:rsidRPr="00920036">
        <w:rPr>
          <w:rFonts w:ascii="Arial" w:hAnsi="Arial" w:cs="Arial"/>
          <w:sz w:val="24"/>
          <w:szCs w:val="24"/>
        </w:rPr>
        <w:t>esigns for 202</w:t>
      </w:r>
      <w:r w:rsidR="00412C95">
        <w:rPr>
          <w:rFonts w:ascii="Arial" w:hAnsi="Arial" w:cs="Arial"/>
          <w:sz w:val="24"/>
          <w:szCs w:val="24"/>
        </w:rPr>
        <w:t>1</w:t>
      </w:r>
      <w:r w:rsidRPr="00920036">
        <w:rPr>
          <w:rFonts w:ascii="Arial" w:hAnsi="Arial" w:cs="Arial"/>
          <w:sz w:val="24"/>
          <w:szCs w:val="24"/>
        </w:rPr>
        <w:t>/2</w:t>
      </w:r>
      <w:r w:rsidR="00412C95">
        <w:rPr>
          <w:rFonts w:ascii="Arial" w:hAnsi="Arial" w:cs="Arial"/>
          <w:sz w:val="24"/>
          <w:szCs w:val="24"/>
        </w:rPr>
        <w:t>2</w:t>
      </w:r>
      <w:r w:rsidRPr="00920036">
        <w:rPr>
          <w:rFonts w:ascii="Arial" w:hAnsi="Arial" w:cs="Arial"/>
          <w:sz w:val="24"/>
          <w:szCs w:val="24"/>
        </w:rPr>
        <w:t>.</w:t>
      </w:r>
      <w:r w:rsidR="00412C95">
        <w:rPr>
          <w:rFonts w:ascii="Arial" w:hAnsi="Arial" w:cs="Arial"/>
          <w:sz w:val="24"/>
          <w:szCs w:val="24"/>
        </w:rPr>
        <w:t xml:space="preserve"> Having said that, </w:t>
      </w:r>
      <w:r w:rsidRPr="00920036">
        <w:rPr>
          <w:rFonts w:ascii="Arial" w:hAnsi="Arial" w:cs="Arial"/>
          <w:sz w:val="24"/>
          <w:szCs w:val="24"/>
        </w:rPr>
        <w:t>the standard and ‘non-COVID’ impacted UPAC activity</w:t>
      </w:r>
      <w:r w:rsidR="00412C95">
        <w:rPr>
          <w:rFonts w:ascii="Arial" w:hAnsi="Arial" w:cs="Arial"/>
          <w:sz w:val="24"/>
          <w:szCs w:val="24"/>
        </w:rPr>
        <w:t xml:space="preserve"> continued</w:t>
      </w:r>
      <w:r w:rsidRPr="00920036">
        <w:rPr>
          <w:rFonts w:ascii="Arial" w:hAnsi="Arial" w:cs="Arial"/>
          <w:sz w:val="24"/>
          <w:szCs w:val="24"/>
        </w:rPr>
        <w:t xml:space="preserve"> in 20</w:t>
      </w:r>
      <w:r w:rsidR="00412C95">
        <w:rPr>
          <w:rFonts w:ascii="Arial" w:hAnsi="Arial" w:cs="Arial"/>
          <w:sz w:val="24"/>
          <w:szCs w:val="24"/>
        </w:rPr>
        <w:t>20</w:t>
      </w:r>
      <w:r w:rsidRPr="00920036">
        <w:rPr>
          <w:rFonts w:ascii="Arial" w:hAnsi="Arial" w:cs="Arial"/>
          <w:sz w:val="24"/>
          <w:szCs w:val="24"/>
        </w:rPr>
        <w:t>/2</w:t>
      </w:r>
      <w:r w:rsidR="00412C95">
        <w:rPr>
          <w:rFonts w:ascii="Arial" w:hAnsi="Arial" w:cs="Arial"/>
          <w:sz w:val="24"/>
          <w:szCs w:val="24"/>
        </w:rPr>
        <w:t>1, albeit with less new programme proposals</w:t>
      </w:r>
      <w:r w:rsidRPr="00920036">
        <w:rPr>
          <w:rFonts w:ascii="Arial" w:hAnsi="Arial" w:cs="Arial"/>
          <w:sz w:val="24"/>
          <w:szCs w:val="24"/>
        </w:rPr>
        <w:t>. A separate report will be drafted and circulated on Programme Re-Design later in the year.</w:t>
      </w:r>
    </w:p>
    <w:p w14:paraId="556ED922" w14:textId="7A30CA79" w:rsidR="0006286D" w:rsidRPr="00920036" w:rsidRDefault="0006286D" w:rsidP="009A464E">
      <w:pPr>
        <w:pStyle w:val="ListParagraph"/>
        <w:numPr>
          <w:ilvl w:val="0"/>
          <w:numId w:val="25"/>
        </w:numPr>
        <w:rPr>
          <w:rFonts w:ascii="Arial" w:hAnsi="Arial" w:cs="Arial"/>
          <w:b/>
          <w:sz w:val="24"/>
          <w:szCs w:val="24"/>
        </w:rPr>
      </w:pPr>
      <w:r w:rsidRPr="00920036">
        <w:rPr>
          <w:rFonts w:ascii="Arial" w:hAnsi="Arial" w:cs="Arial"/>
          <w:b/>
          <w:sz w:val="24"/>
          <w:szCs w:val="24"/>
        </w:rPr>
        <w:t>UPAC dates 2020/21</w:t>
      </w:r>
    </w:p>
    <w:p w14:paraId="3CD48EE0" w14:textId="1E177C68" w:rsidR="0006286D" w:rsidRDefault="0006286D" w:rsidP="009A464E">
      <w:pPr>
        <w:pStyle w:val="ListParagraph"/>
        <w:rPr>
          <w:rFonts w:ascii="Arial" w:hAnsi="Arial" w:cs="Arial"/>
          <w:sz w:val="24"/>
          <w:szCs w:val="24"/>
        </w:rPr>
      </w:pPr>
      <w:r w:rsidRPr="009A464E">
        <w:rPr>
          <w:rFonts w:ascii="Arial" w:hAnsi="Arial" w:cs="Arial"/>
          <w:sz w:val="24"/>
          <w:szCs w:val="24"/>
        </w:rPr>
        <w:t>The UPAC dates for 2020/21 have been circulated to</w:t>
      </w:r>
      <w:r w:rsidR="00412C95" w:rsidRPr="009A464E">
        <w:rPr>
          <w:rFonts w:ascii="Arial" w:hAnsi="Arial" w:cs="Arial"/>
          <w:sz w:val="24"/>
          <w:szCs w:val="24"/>
        </w:rPr>
        <w:t xml:space="preserve"> the relevant stakeholders, including</w:t>
      </w:r>
      <w:r w:rsidRPr="009A464E">
        <w:rPr>
          <w:rFonts w:ascii="Arial" w:hAnsi="Arial" w:cs="Arial"/>
          <w:sz w:val="24"/>
          <w:szCs w:val="24"/>
        </w:rPr>
        <w:t xml:space="preserve"> Quality staff in each School</w:t>
      </w:r>
      <w:r w:rsidR="00412C95" w:rsidRPr="009A464E">
        <w:rPr>
          <w:rFonts w:ascii="Arial" w:hAnsi="Arial" w:cs="Arial"/>
          <w:sz w:val="24"/>
          <w:szCs w:val="24"/>
        </w:rPr>
        <w:t>.</w:t>
      </w:r>
    </w:p>
    <w:p w14:paraId="060C6286" w14:textId="77777777" w:rsidR="009A464E" w:rsidRDefault="009A464E" w:rsidP="009A464E">
      <w:pPr>
        <w:pStyle w:val="ListParagraph"/>
        <w:rPr>
          <w:rFonts w:ascii="Arial" w:hAnsi="Arial" w:cs="Arial"/>
          <w:sz w:val="24"/>
          <w:szCs w:val="24"/>
        </w:rPr>
      </w:pPr>
    </w:p>
    <w:p w14:paraId="61AF4A24" w14:textId="7AA9C4D1" w:rsidR="004018A4" w:rsidRPr="00920036" w:rsidRDefault="004018A4" w:rsidP="009A464E">
      <w:pPr>
        <w:pStyle w:val="ListParagraph"/>
        <w:numPr>
          <w:ilvl w:val="0"/>
          <w:numId w:val="25"/>
        </w:numPr>
        <w:rPr>
          <w:rFonts w:ascii="Arial" w:hAnsi="Arial" w:cs="Arial"/>
          <w:b/>
          <w:sz w:val="24"/>
          <w:szCs w:val="24"/>
        </w:rPr>
      </w:pPr>
      <w:r w:rsidRPr="00920036">
        <w:rPr>
          <w:rFonts w:ascii="Arial" w:hAnsi="Arial" w:cs="Arial"/>
          <w:b/>
          <w:sz w:val="24"/>
          <w:szCs w:val="24"/>
        </w:rPr>
        <w:t>Stage 1 and 2 Programme Approval Reports</w:t>
      </w:r>
      <w:r w:rsidRPr="00920036">
        <w:rPr>
          <w:rFonts w:ascii="Arial" w:hAnsi="Arial" w:cs="Arial"/>
          <w:b/>
          <w:sz w:val="24"/>
          <w:szCs w:val="24"/>
        </w:rPr>
        <w:tab/>
      </w:r>
    </w:p>
    <w:p w14:paraId="3F1B893D" w14:textId="242C5FC2" w:rsidR="0022351E" w:rsidRDefault="004018A4" w:rsidP="009A464E">
      <w:pPr>
        <w:pStyle w:val="ListParagraph"/>
        <w:rPr>
          <w:rFonts w:ascii="Arial" w:hAnsi="Arial" w:cs="Arial"/>
          <w:sz w:val="24"/>
          <w:szCs w:val="24"/>
        </w:rPr>
      </w:pPr>
      <w:r w:rsidRPr="009A464E">
        <w:rPr>
          <w:rFonts w:ascii="Arial" w:hAnsi="Arial" w:cs="Arial"/>
          <w:sz w:val="24"/>
          <w:szCs w:val="24"/>
        </w:rPr>
        <w:t>Reports from Stage 1 and 2 of University Programme Ap</w:t>
      </w:r>
      <w:r w:rsidR="009456A7" w:rsidRPr="009A464E">
        <w:rPr>
          <w:rFonts w:ascii="Arial" w:hAnsi="Arial" w:cs="Arial"/>
          <w:sz w:val="24"/>
          <w:szCs w:val="24"/>
        </w:rPr>
        <w:t>proval Committee (UPAC) for 20</w:t>
      </w:r>
      <w:r w:rsidR="00412C95" w:rsidRPr="009A464E">
        <w:rPr>
          <w:rFonts w:ascii="Arial" w:hAnsi="Arial" w:cs="Arial"/>
          <w:sz w:val="24"/>
          <w:szCs w:val="24"/>
        </w:rPr>
        <w:t>20</w:t>
      </w:r>
      <w:r w:rsidR="000E4935" w:rsidRPr="009A464E">
        <w:rPr>
          <w:rFonts w:ascii="Arial" w:hAnsi="Arial" w:cs="Arial"/>
          <w:sz w:val="24"/>
          <w:szCs w:val="24"/>
        </w:rPr>
        <w:t>/2</w:t>
      </w:r>
      <w:r w:rsidR="00412C95" w:rsidRPr="009A464E">
        <w:rPr>
          <w:rFonts w:ascii="Arial" w:hAnsi="Arial" w:cs="Arial"/>
          <w:sz w:val="24"/>
          <w:szCs w:val="24"/>
        </w:rPr>
        <w:t>1</w:t>
      </w:r>
      <w:r w:rsidR="000E4935" w:rsidRPr="009A464E">
        <w:rPr>
          <w:rFonts w:ascii="Arial" w:hAnsi="Arial" w:cs="Arial"/>
          <w:sz w:val="24"/>
          <w:szCs w:val="24"/>
        </w:rPr>
        <w:t xml:space="preserve"> have been shared with the Quality Teams in the relevant School</w:t>
      </w:r>
      <w:r w:rsidR="00CE7013" w:rsidRPr="009A464E">
        <w:rPr>
          <w:rFonts w:ascii="Arial" w:hAnsi="Arial" w:cs="Arial"/>
          <w:sz w:val="24"/>
          <w:szCs w:val="24"/>
        </w:rPr>
        <w:t>s</w:t>
      </w:r>
      <w:r w:rsidR="000E4935" w:rsidRPr="009A464E">
        <w:rPr>
          <w:rFonts w:ascii="Arial" w:hAnsi="Arial" w:cs="Arial"/>
          <w:sz w:val="24"/>
          <w:szCs w:val="24"/>
        </w:rPr>
        <w:t xml:space="preserve"> and the Programme Team who attended the UPAC meeting(s).</w:t>
      </w:r>
    </w:p>
    <w:p w14:paraId="55626E57" w14:textId="77777777" w:rsidR="009A464E" w:rsidRPr="009A464E" w:rsidRDefault="009A464E" w:rsidP="009A464E">
      <w:pPr>
        <w:pStyle w:val="ListParagraph"/>
        <w:rPr>
          <w:rFonts w:ascii="Arial" w:hAnsi="Arial" w:cs="Arial"/>
          <w:sz w:val="24"/>
          <w:szCs w:val="24"/>
        </w:rPr>
      </w:pPr>
    </w:p>
    <w:p w14:paraId="7A36491B" w14:textId="3F322EE5" w:rsidR="00B952CA" w:rsidRPr="00920036" w:rsidRDefault="009456A7" w:rsidP="009A464E">
      <w:pPr>
        <w:pStyle w:val="ListParagraph"/>
        <w:numPr>
          <w:ilvl w:val="0"/>
          <w:numId w:val="25"/>
        </w:numPr>
        <w:rPr>
          <w:rFonts w:ascii="Arial" w:hAnsi="Arial" w:cs="Arial"/>
          <w:b/>
          <w:sz w:val="24"/>
          <w:szCs w:val="24"/>
        </w:rPr>
      </w:pPr>
      <w:r w:rsidRPr="00920036">
        <w:rPr>
          <w:rFonts w:ascii="Arial" w:hAnsi="Arial" w:cs="Arial"/>
          <w:b/>
          <w:sz w:val="24"/>
          <w:szCs w:val="24"/>
        </w:rPr>
        <w:t>Reflections on Outcomes in 20</w:t>
      </w:r>
      <w:r w:rsidR="00412C95">
        <w:rPr>
          <w:rFonts w:ascii="Arial" w:hAnsi="Arial" w:cs="Arial"/>
          <w:b/>
          <w:sz w:val="24"/>
          <w:szCs w:val="24"/>
        </w:rPr>
        <w:t>20</w:t>
      </w:r>
      <w:r w:rsidR="00667FC1" w:rsidRPr="00920036">
        <w:rPr>
          <w:rFonts w:ascii="Arial" w:hAnsi="Arial" w:cs="Arial"/>
          <w:b/>
          <w:sz w:val="24"/>
          <w:szCs w:val="24"/>
        </w:rPr>
        <w:t>/</w:t>
      </w:r>
      <w:r w:rsidR="002D3A40" w:rsidRPr="00920036">
        <w:rPr>
          <w:rFonts w:ascii="Arial" w:hAnsi="Arial" w:cs="Arial"/>
          <w:b/>
          <w:sz w:val="24"/>
          <w:szCs w:val="24"/>
        </w:rPr>
        <w:t>2</w:t>
      </w:r>
      <w:r w:rsidR="00412C95">
        <w:rPr>
          <w:rFonts w:ascii="Arial" w:hAnsi="Arial" w:cs="Arial"/>
          <w:b/>
          <w:sz w:val="24"/>
          <w:szCs w:val="24"/>
        </w:rPr>
        <w:t>1</w:t>
      </w:r>
    </w:p>
    <w:p w14:paraId="0F9F98BB" w14:textId="3C2FE9C8" w:rsidR="004018A4" w:rsidRDefault="00412C95" w:rsidP="009A464E">
      <w:pPr>
        <w:pStyle w:val="ListParagraph"/>
        <w:rPr>
          <w:rFonts w:ascii="Arial" w:hAnsi="Arial" w:cs="Arial"/>
          <w:sz w:val="24"/>
          <w:szCs w:val="24"/>
        </w:rPr>
      </w:pPr>
      <w:r w:rsidRPr="009A464E">
        <w:rPr>
          <w:rFonts w:ascii="Arial" w:hAnsi="Arial" w:cs="Arial"/>
          <w:sz w:val="24"/>
          <w:szCs w:val="24"/>
        </w:rPr>
        <w:t>Considering the impact of Covid-19, a</w:t>
      </w:r>
      <w:r w:rsidR="00B952CA" w:rsidRPr="009A464E">
        <w:rPr>
          <w:rFonts w:ascii="Arial" w:hAnsi="Arial" w:cs="Arial"/>
          <w:sz w:val="24"/>
          <w:szCs w:val="24"/>
        </w:rPr>
        <w:t xml:space="preserve"> significant volume of programme approval activity took place in the past academic year</w:t>
      </w:r>
      <w:r w:rsidR="006B1447" w:rsidRPr="009A464E">
        <w:rPr>
          <w:rFonts w:ascii="Arial" w:hAnsi="Arial" w:cs="Arial"/>
          <w:sz w:val="24"/>
          <w:szCs w:val="24"/>
        </w:rPr>
        <w:t xml:space="preserve">. </w:t>
      </w:r>
      <w:r w:rsidR="00667FC1" w:rsidRPr="009A464E">
        <w:rPr>
          <w:rFonts w:ascii="Arial" w:hAnsi="Arial" w:cs="Arial"/>
          <w:sz w:val="24"/>
          <w:szCs w:val="24"/>
        </w:rPr>
        <w:t>It</w:t>
      </w:r>
      <w:r w:rsidR="00B952CA" w:rsidRPr="009A464E">
        <w:rPr>
          <w:rFonts w:ascii="Arial" w:hAnsi="Arial" w:cs="Arial"/>
          <w:sz w:val="24"/>
          <w:szCs w:val="24"/>
        </w:rPr>
        <w:t xml:space="preserve"> encompass</w:t>
      </w:r>
      <w:r w:rsidR="00667FC1" w:rsidRPr="009A464E">
        <w:rPr>
          <w:rFonts w:ascii="Arial" w:hAnsi="Arial" w:cs="Arial"/>
          <w:sz w:val="24"/>
          <w:szCs w:val="24"/>
        </w:rPr>
        <w:t>ed</w:t>
      </w:r>
      <w:r w:rsidR="00B952CA" w:rsidRPr="009A464E">
        <w:rPr>
          <w:rFonts w:ascii="Arial" w:hAnsi="Arial" w:cs="Arial"/>
          <w:sz w:val="24"/>
          <w:szCs w:val="24"/>
        </w:rPr>
        <w:t xml:space="preserve"> </w:t>
      </w:r>
      <w:r w:rsidR="00591FB3" w:rsidRPr="009A464E">
        <w:rPr>
          <w:rFonts w:ascii="Arial" w:hAnsi="Arial" w:cs="Arial"/>
          <w:sz w:val="24"/>
          <w:szCs w:val="24"/>
        </w:rPr>
        <w:t>new programme approvals</w:t>
      </w:r>
      <w:r w:rsidR="001237A2" w:rsidRPr="009A464E">
        <w:rPr>
          <w:rFonts w:ascii="Arial" w:hAnsi="Arial" w:cs="Arial"/>
          <w:sz w:val="24"/>
          <w:szCs w:val="24"/>
        </w:rPr>
        <w:t xml:space="preserve"> and </w:t>
      </w:r>
      <w:r w:rsidR="00591FB3" w:rsidRPr="009A464E">
        <w:rPr>
          <w:rFonts w:ascii="Arial" w:hAnsi="Arial" w:cs="Arial"/>
          <w:sz w:val="24"/>
          <w:szCs w:val="24"/>
        </w:rPr>
        <w:t>major amendments to existing programmes</w:t>
      </w:r>
      <w:r w:rsidR="001237A2" w:rsidRPr="009A464E">
        <w:rPr>
          <w:rFonts w:ascii="Arial" w:hAnsi="Arial" w:cs="Arial"/>
          <w:sz w:val="24"/>
          <w:szCs w:val="24"/>
        </w:rPr>
        <w:t>.</w:t>
      </w:r>
      <w:r w:rsidRPr="009A464E">
        <w:rPr>
          <w:rFonts w:ascii="Arial" w:hAnsi="Arial" w:cs="Arial"/>
          <w:sz w:val="24"/>
          <w:szCs w:val="24"/>
        </w:rPr>
        <w:t xml:space="preserve"> </w:t>
      </w:r>
    </w:p>
    <w:p w14:paraId="15285FE5" w14:textId="77777777" w:rsidR="009A464E" w:rsidRPr="009A464E" w:rsidRDefault="009A464E" w:rsidP="009A464E">
      <w:pPr>
        <w:pStyle w:val="ListParagraph"/>
        <w:rPr>
          <w:rFonts w:ascii="Arial" w:hAnsi="Arial" w:cs="Arial"/>
          <w:sz w:val="24"/>
          <w:szCs w:val="24"/>
        </w:rPr>
      </w:pPr>
    </w:p>
    <w:p w14:paraId="62E5A7FE" w14:textId="1C3E440A" w:rsidR="008A0CEB" w:rsidRPr="009A464E" w:rsidRDefault="008A0CEB" w:rsidP="009A464E">
      <w:pPr>
        <w:pStyle w:val="ListParagraph"/>
        <w:numPr>
          <w:ilvl w:val="0"/>
          <w:numId w:val="25"/>
        </w:numPr>
        <w:rPr>
          <w:rFonts w:ascii="Arial" w:hAnsi="Arial" w:cs="Arial"/>
          <w:b/>
          <w:sz w:val="24"/>
          <w:szCs w:val="24"/>
        </w:rPr>
      </w:pPr>
      <w:r w:rsidRPr="009A464E">
        <w:rPr>
          <w:rFonts w:ascii="Arial" w:hAnsi="Arial" w:cs="Arial"/>
          <w:b/>
          <w:sz w:val="24"/>
          <w:szCs w:val="24"/>
        </w:rPr>
        <w:t xml:space="preserve">Approved Programmes </w:t>
      </w:r>
      <w:r w:rsidR="00215038" w:rsidRPr="009A464E">
        <w:rPr>
          <w:rFonts w:ascii="Arial" w:hAnsi="Arial" w:cs="Arial"/>
          <w:b/>
          <w:sz w:val="24"/>
          <w:szCs w:val="24"/>
        </w:rPr>
        <w:t>at</w:t>
      </w:r>
      <w:r w:rsidR="00604112" w:rsidRPr="009A464E">
        <w:rPr>
          <w:rFonts w:ascii="Arial" w:hAnsi="Arial" w:cs="Arial"/>
          <w:b/>
          <w:sz w:val="24"/>
          <w:szCs w:val="24"/>
        </w:rPr>
        <w:t xml:space="preserve"> Stage 1 and 2 in 20</w:t>
      </w:r>
      <w:r w:rsidR="008500E7" w:rsidRPr="009A464E">
        <w:rPr>
          <w:rFonts w:ascii="Arial" w:hAnsi="Arial" w:cs="Arial"/>
          <w:b/>
          <w:sz w:val="24"/>
          <w:szCs w:val="24"/>
        </w:rPr>
        <w:t>20</w:t>
      </w:r>
      <w:r w:rsidR="00604112" w:rsidRPr="009A464E">
        <w:rPr>
          <w:rFonts w:ascii="Arial" w:hAnsi="Arial" w:cs="Arial"/>
          <w:b/>
          <w:sz w:val="24"/>
          <w:szCs w:val="24"/>
        </w:rPr>
        <w:t>/2</w:t>
      </w:r>
      <w:r w:rsidR="008500E7" w:rsidRPr="009A464E">
        <w:rPr>
          <w:rFonts w:ascii="Arial" w:hAnsi="Arial" w:cs="Arial"/>
          <w:b/>
          <w:sz w:val="24"/>
          <w:szCs w:val="24"/>
        </w:rPr>
        <w:t>1</w:t>
      </w:r>
    </w:p>
    <w:tbl>
      <w:tblPr>
        <w:tblStyle w:val="TableGrid"/>
        <w:tblW w:w="10201" w:type="dxa"/>
        <w:jc w:val="center"/>
        <w:tblLook w:val="04A0" w:firstRow="1" w:lastRow="0" w:firstColumn="1" w:lastColumn="0" w:noHBand="0" w:noVBand="1"/>
      </w:tblPr>
      <w:tblGrid>
        <w:gridCol w:w="2207"/>
        <w:gridCol w:w="3884"/>
        <w:gridCol w:w="4110"/>
      </w:tblGrid>
      <w:tr w:rsidR="008A0CEB" w:rsidRPr="00920036" w14:paraId="5C835E86" w14:textId="77777777" w:rsidTr="00FB004B">
        <w:trPr>
          <w:trHeight w:val="268"/>
          <w:jc w:val="center"/>
        </w:trPr>
        <w:tc>
          <w:tcPr>
            <w:tcW w:w="2207" w:type="dxa"/>
            <w:shd w:val="clear" w:color="auto" w:fill="BFBFBF" w:themeFill="background1" w:themeFillShade="BF"/>
          </w:tcPr>
          <w:p w14:paraId="57E83B8F" w14:textId="38F9D1E7" w:rsidR="008A0CEB" w:rsidRPr="00920036" w:rsidRDefault="008A0CEB">
            <w:pPr>
              <w:rPr>
                <w:rFonts w:ascii="Arial" w:hAnsi="Arial" w:cs="Arial"/>
                <w:b/>
                <w:sz w:val="24"/>
                <w:szCs w:val="24"/>
              </w:rPr>
            </w:pPr>
            <w:r w:rsidRPr="00920036">
              <w:rPr>
                <w:rFonts w:ascii="Arial" w:hAnsi="Arial" w:cs="Arial"/>
                <w:b/>
                <w:sz w:val="24"/>
                <w:szCs w:val="24"/>
              </w:rPr>
              <w:t>School</w:t>
            </w:r>
          </w:p>
        </w:tc>
        <w:tc>
          <w:tcPr>
            <w:tcW w:w="3884" w:type="dxa"/>
            <w:shd w:val="clear" w:color="auto" w:fill="BFBFBF" w:themeFill="background1" w:themeFillShade="BF"/>
          </w:tcPr>
          <w:p w14:paraId="0341B8D1" w14:textId="1178C622" w:rsidR="008A0CEB" w:rsidRPr="00920036" w:rsidRDefault="008A0CEB">
            <w:pPr>
              <w:rPr>
                <w:rFonts w:ascii="Arial" w:hAnsi="Arial" w:cs="Arial"/>
                <w:b/>
                <w:sz w:val="24"/>
                <w:szCs w:val="24"/>
              </w:rPr>
            </w:pPr>
            <w:r w:rsidRPr="00920036">
              <w:rPr>
                <w:rFonts w:ascii="Arial" w:hAnsi="Arial" w:cs="Arial"/>
                <w:b/>
                <w:sz w:val="24"/>
                <w:szCs w:val="24"/>
              </w:rPr>
              <w:t>Stage 1 Programmes</w:t>
            </w:r>
          </w:p>
        </w:tc>
        <w:tc>
          <w:tcPr>
            <w:tcW w:w="4110" w:type="dxa"/>
            <w:shd w:val="clear" w:color="auto" w:fill="BFBFBF" w:themeFill="background1" w:themeFillShade="BF"/>
          </w:tcPr>
          <w:p w14:paraId="0B5BD191" w14:textId="4E25C106" w:rsidR="008A0CEB" w:rsidRPr="00920036" w:rsidRDefault="008A0CEB">
            <w:pPr>
              <w:rPr>
                <w:rFonts w:ascii="Arial" w:hAnsi="Arial" w:cs="Arial"/>
                <w:b/>
                <w:sz w:val="24"/>
                <w:szCs w:val="24"/>
              </w:rPr>
            </w:pPr>
            <w:r w:rsidRPr="00920036">
              <w:rPr>
                <w:rFonts w:ascii="Arial" w:hAnsi="Arial" w:cs="Arial"/>
                <w:b/>
                <w:sz w:val="24"/>
                <w:szCs w:val="24"/>
              </w:rPr>
              <w:t>Stage 2 Programmes</w:t>
            </w:r>
          </w:p>
        </w:tc>
      </w:tr>
      <w:tr w:rsidR="00CE7013" w:rsidRPr="00920036" w14:paraId="2E062149" w14:textId="77777777" w:rsidTr="00FB004B">
        <w:trPr>
          <w:trHeight w:val="415"/>
          <w:jc w:val="center"/>
        </w:trPr>
        <w:tc>
          <w:tcPr>
            <w:tcW w:w="2207" w:type="dxa"/>
            <w:vMerge w:val="restart"/>
          </w:tcPr>
          <w:p w14:paraId="57ED505F" w14:textId="6C3CB7EB" w:rsidR="00CE7013" w:rsidRPr="001237A2" w:rsidRDefault="00CE7013" w:rsidP="00604112">
            <w:pPr>
              <w:rPr>
                <w:rFonts w:ascii="Arial" w:hAnsi="Arial" w:cs="Arial"/>
                <w:sz w:val="24"/>
                <w:szCs w:val="24"/>
              </w:rPr>
            </w:pPr>
            <w:r w:rsidRPr="001237A2">
              <w:rPr>
                <w:rFonts w:ascii="Arial" w:hAnsi="Arial" w:cs="Arial"/>
                <w:sz w:val="24"/>
                <w:szCs w:val="24"/>
              </w:rPr>
              <w:t>SASS</w:t>
            </w:r>
          </w:p>
        </w:tc>
        <w:tc>
          <w:tcPr>
            <w:tcW w:w="3884" w:type="dxa"/>
          </w:tcPr>
          <w:p w14:paraId="46313C74" w14:textId="5F764257" w:rsidR="00CE7013" w:rsidRPr="00412C95" w:rsidRDefault="00CE7013" w:rsidP="00604112">
            <w:pPr>
              <w:rPr>
                <w:rFonts w:ascii="Arial" w:hAnsi="Arial" w:cs="Arial"/>
                <w:color w:val="000000"/>
                <w:sz w:val="24"/>
                <w:szCs w:val="24"/>
              </w:rPr>
            </w:pPr>
            <w:r>
              <w:rPr>
                <w:rFonts w:ascii="Arial" w:hAnsi="Arial" w:cs="Arial"/>
                <w:color w:val="000000"/>
                <w:sz w:val="24"/>
                <w:szCs w:val="24"/>
              </w:rPr>
              <w:t>MSc Violence and Society</w:t>
            </w:r>
          </w:p>
        </w:tc>
        <w:tc>
          <w:tcPr>
            <w:tcW w:w="4110" w:type="dxa"/>
            <w:vMerge w:val="restart"/>
          </w:tcPr>
          <w:p w14:paraId="69E91637" w14:textId="0D0AA3BE" w:rsidR="00CE7013" w:rsidRPr="00920036" w:rsidRDefault="00CE7013" w:rsidP="00604112">
            <w:pPr>
              <w:rPr>
                <w:rFonts w:ascii="Arial" w:hAnsi="Arial" w:cs="Arial"/>
                <w:b/>
                <w:sz w:val="24"/>
                <w:szCs w:val="24"/>
              </w:rPr>
            </w:pPr>
            <w:r w:rsidRPr="00920036">
              <w:rPr>
                <w:rFonts w:ascii="Arial" w:hAnsi="Arial" w:cs="Arial"/>
                <w:color w:val="000000"/>
                <w:sz w:val="24"/>
                <w:szCs w:val="24"/>
              </w:rPr>
              <w:t>MA Music by Research</w:t>
            </w:r>
          </w:p>
        </w:tc>
      </w:tr>
      <w:tr w:rsidR="00CE7013" w:rsidRPr="00920036" w14:paraId="48143A00" w14:textId="77777777" w:rsidTr="00FB004B">
        <w:trPr>
          <w:trHeight w:val="415"/>
          <w:jc w:val="center"/>
        </w:trPr>
        <w:tc>
          <w:tcPr>
            <w:tcW w:w="2207" w:type="dxa"/>
            <w:vMerge/>
          </w:tcPr>
          <w:p w14:paraId="13A36DD3" w14:textId="77777777" w:rsidR="00CE7013" w:rsidRPr="00920036" w:rsidRDefault="00CE7013" w:rsidP="00604112">
            <w:pPr>
              <w:rPr>
                <w:rFonts w:ascii="Arial" w:hAnsi="Arial" w:cs="Arial"/>
                <w:color w:val="000000"/>
                <w:sz w:val="24"/>
                <w:szCs w:val="24"/>
              </w:rPr>
            </w:pPr>
          </w:p>
        </w:tc>
        <w:tc>
          <w:tcPr>
            <w:tcW w:w="3884" w:type="dxa"/>
          </w:tcPr>
          <w:p w14:paraId="7FB8E62E" w14:textId="5DD3B361" w:rsidR="00CE7013" w:rsidRPr="00412C95" w:rsidRDefault="00CE7013" w:rsidP="00604112">
            <w:pPr>
              <w:rPr>
                <w:rFonts w:ascii="Arial" w:hAnsi="Arial" w:cs="Arial"/>
                <w:color w:val="000000"/>
                <w:sz w:val="24"/>
                <w:szCs w:val="24"/>
              </w:rPr>
            </w:pPr>
            <w:r w:rsidRPr="00412C95">
              <w:rPr>
                <w:rFonts w:ascii="Arial" w:hAnsi="Arial" w:cs="Arial"/>
                <w:sz w:val="24"/>
                <w:szCs w:val="24"/>
              </w:rPr>
              <w:t>BA Journalism, Politics and History</w:t>
            </w:r>
          </w:p>
        </w:tc>
        <w:tc>
          <w:tcPr>
            <w:tcW w:w="4110" w:type="dxa"/>
            <w:vMerge/>
          </w:tcPr>
          <w:p w14:paraId="73636B31" w14:textId="77777777" w:rsidR="00CE7013" w:rsidRPr="00920036" w:rsidRDefault="00CE7013" w:rsidP="00604112">
            <w:pPr>
              <w:rPr>
                <w:rFonts w:ascii="Arial" w:hAnsi="Arial" w:cs="Arial"/>
                <w:color w:val="000000"/>
                <w:sz w:val="24"/>
                <w:szCs w:val="24"/>
              </w:rPr>
            </w:pPr>
          </w:p>
        </w:tc>
      </w:tr>
      <w:tr w:rsidR="00CE7013" w:rsidRPr="00920036" w14:paraId="5B414BB5" w14:textId="77777777" w:rsidTr="00FB004B">
        <w:trPr>
          <w:trHeight w:val="415"/>
          <w:jc w:val="center"/>
        </w:trPr>
        <w:tc>
          <w:tcPr>
            <w:tcW w:w="2207" w:type="dxa"/>
            <w:vMerge w:val="restart"/>
          </w:tcPr>
          <w:p w14:paraId="0385AC3A" w14:textId="5BFEF246" w:rsidR="00CE7013" w:rsidRDefault="00CE7013" w:rsidP="00604112">
            <w:pPr>
              <w:rPr>
                <w:rFonts w:ascii="Arial" w:hAnsi="Arial" w:cs="Arial"/>
                <w:color w:val="000000"/>
                <w:sz w:val="24"/>
                <w:szCs w:val="24"/>
              </w:rPr>
            </w:pPr>
            <w:r>
              <w:rPr>
                <w:rFonts w:ascii="Arial" w:hAnsi="Arial" w:cs="Arial"/>
                <w:color w:val="000000"/>
                <w:sz w:val="24"/>
                <w:szCs w:val="24"/>
              </w:rPr>
              <w:t>SHS</w:t>
            </w:r>
          </w:p>
        </w:tc>
        <w:tc>
          <w:tcPr>
            <w:tcW w:w="3884" w:type="dxa"/>
          </w:tcPr>
          <w:p w14:paraId="3A2CEAE3" w14:textId="2E0A9023" w:rsidR="00CE7013" w:rsidRPr="00412C95" w:rsidRDefault="00CE7013" w:rsidP="00604112">
            <w:pPr>
              <w:rPr>
                <w:rFonts w:ascii="Arial" w:hAnsi="Arial" w:cs="Arial"/>
                <w:sz w:val="24"/>
                <w:szCs w:val="24"/>
              </w:rPr>
            </w:pPr>
            <w:r>
              <w:rPr>
                <w:rFonts w:ascii="Arial" w:hAnsi="Arial" w:cs="Arial"/>
                <w:sz w:val="24"/>
                <w:szCs w:val="24"/>
              </w:rPr>
              <w:t>MSc Global Maternal Health</w:t>
            </w:r>
          </w:p>
        </w:tc>
        <w:tc>
          <w:tcPr>
            <w:tcW w:w="4110" w:type="dxa"/>
            <w:vMerge w:val="restart"/>
          </w:tcPr>
          <w:p w14:paraId="683BDAAF" w14:textId="0418712B" w:rsidR="00CE7013" w:rsidRDefault="00CE7013" w:rsidP="00604112">
            <w:pPr>
              <w:rPr>
                <w:rFonts w:ascii="Arial" w:hAnsi="Arial" w:cs="Arial"/>
                <w:color w:val="000000"/>
                <w:sz w:val="24"/>
                <w:szCs w:val="24"/>
              </w:rPr>
            </w:pPr>
            <w:r>
              <w:rPr>
                <w:rFonts w:ascii="Arial" w:hAnsi="Arial" w:cs="Arial"/>
                <w:sz w:val="24"/>
                <w:szCs w:val="24"/>
              </w:rPr>
              <w:t>MSc Global Maternal Health</w:t>
            </w:r>
          </w:p>
        </w:tc>
      </w:tr>
      <w:tr w:rsidR="00CE7013" w:rsidRPr="00920036" w14:paraId="2BC296B1" w14:textId="77777777" w:rsidTr="00FB004B">
        <w:trPr>
          <w:trHeight w:val="415"/>
          <w:jc w:val="center"/>
        </w:trPr>
        <w:tc>
          <w:tcPr>
            <w:tcW w:w="2207" w:type="dxa"/>
            <w:vMerge/>
          </w:tcPr>
          <w:p w14:paraId="3439AC35" w14:textId="77777777" w:rsidR="00CE7013" w:rsidRDefault="00CE7013" w:rsidP="00604112">
            <w:pPr>
              <w:rPr>
                <w:rFonts w:ascii="Arial" w:hAnsi="Arial" w:cs="Arial"/>
                <w:color w:val="000000"/>
                <w:sz w:val="24"/>
                <w:szCs w:val="24"/>
              </w:rPr>
            </w:pPr>
          </w:p>
        </w:tc>
        <w:tc>
          <w:tcPr>
            <w:tcW w:w="3884" w:type="dxa"/>
          </w:tcPr>
          <w:p w14:paraId="23904F56" w14:textId="78579DDC" w:rsidR="00CE7013" w:rsidRDefault="00CE7013" w:rsidP="00604112">
            <w:pPr>
              <w:rPr>
                <w:rFonts w:ascii="Arial" w:hAnsi="Arial" w:cs="Arial"/>
                <w:sz w:val="24"/>
                <w:szCs w:val="24"/>
              </w:rPr>
            </w:pPr>
            <w:r>
              <w:rPr>
                <w:rFonts w:ascii="Arial" w:hAnsi="Arial" w:cs="Arial"/>
                <w:sz w:val="24"/>
                <w:szCs w:val="24"/>
              </w:rPr>
              <w:t>BSc Nutrition and Food Policy</w:t>
            </w:r>
          </w:p>
        </w:tc>
        <w:tc>
          <w:tcPr>
            <w:tcW w:w="4110" w:type="dxa"/>
            <w:vMerge/>
          </w:tcPr>
          <w:p w14:paraId="72406729" w14:textId="77777777" w:rsidR="00CE7013" w:rsidRDefault="00CE7013" w:rsidP="00604112">
            <w:pPr>
              <w:rPr>
                <w:rFonts w:ascii="Arial" w:hAnsi="Arial" w:cs="Arial"/>
                <w:sz w:val="24"/>
                <w:szCs w:val="24"/>
              </w:rPr>
            </w:pPr>
          </w:p>
        </w:tc>
      </w:tr>
      <w:tr w:rsidR="00CE7013" w:rsidRPr="00920036" w14:paraId="7F92D28C" w14:textId="77777777" w:rsidTr="00FB004B">
        <w:trPr>
          <w:trHeight w:val="415"/>
          <w:jc w:val="center"/>
        </w:trPr>
        <w:tc>
          <w:tcPr>
            <w:tcW w:w="2207" w:type="dxa"/>
            <w:vMerge/>
          </w:tcPr>
          <w:p w14:paraId="4DEF25FC" w14:textId="77777777" w:rsidR="00CE7013" w:rsidRDefault="00CE7013" w:rsidP="00604112">
            <w:pPr>
              <w:rPr>
                <w:rFonts w:ascii="Arial" w:hAnsi="Arial" w:cs="Arial"/>
                <w:color w:val="000000"/>
                <w:sz w:val="24"/>
                <w:szCs w:val="24"/>
              </w:rPr>
            </w:pPr>
          </w:p>
        </w:tc>
        <w:tc>
          <w:tcPr>
            <w:tcW w:w="3884" w:type="dxa"/>
          </w:tcPr>
          <w:p w14:paraId="6A9102C5" w14:textId="551899CD" w:rsidR="00CE7013" w:rsidRDefault="00CE7013" w:rsidP="00604112">
            <w:pPr>
              <w:rPr>
                <w:rFonts w:ascii="Arial" w:hAnsi="Arial" w:cs="Arial"/>
                <w:sz w:val="24"/>
                <w:szCs w:val="24"/>
              </w:rPr>
            </w:pPr>
            <w:r>
              <w:rPr>
                <w:rFonts w:ascii="Arial" w:hAnsi="Arial" w:cs="Arial"/>
                <w:sz w:val="24"/>
                <w:szCs w:val="24"/>
              </w:rPr>
              <w:t>BSc Linguistics</w:t>
            </w:r>
          </w:p>
        </w:tc>
        <w:tc>
          <w:tcPr>
            <w:tcW w:w="4110" w:type="dxa"/>
            <w:vMerge/>
          </w:tcPr>
          <w:p w14:paraId="582431AE" w14:textId="77777777" w:rsidR="00CE7013" w:rsidRDefault="00CE7013" w:rsidP="00604112">
            <w:pPr>
              <w:rPr>
                <w:rFonts w:ascii="Arial" w:hAnsi="Arial" w:cs="Arial"/>
                <w:sz w:val="24"/>
                <w:szCs w:val="24"/>
              </w:rPr>
            </w:pPr>
          </w:p>
        </w:tc>
      </w:tr>
      <w:tr w:rsidR="00CE7013" w:rsidRPr="00920036" w14:paraId="1F5EBECD" w14:textId="77777777" w:rsidTr="00FB004B">
        <w:trPr>
          <w:trHeight w:val="415"/>
          <w:jc w:val="center"/>
        </w:trPr>
        <w:tc>
          <w:tcPr>
            <w:tcW w:w="2207" w:type="dxa"/>
            <w:vMerge/>
          </w:tcPr>
          <w:p w14:paraId="6305B9BA" w14:textId="77777777" w:rsidR="00CE7013" w:rsidRDefault="00CE7013" w:rsidP="00604112">
            <w:pPr>
              <w:rPr>
                <w:rFonts w:ascii="Arial" w:hAnsi="Arial" w:cs="Arial"/>
                <w:color w:val="000000"/>
                <w:sz w:val="24"/>
                <w:szCs w:val="24"/>
              </w:rPr>
            </w:pPr>
          </w:p>
        </w:tc>
        <w:tc>
          <w:tcPr>
            <w:tcW w:w="3884" w:type="dxa"/>
          </w:tcPr>
          <w:p w14:paraId="6DB30DA7" w14:textId="7E7D96C1" w:rsidR="00CE7013" w:rsidRDefault="00CE7013" w:rsidP="00604112">
            <w:pPr>
              <w:rPr>
                <w:rFonts w:ascii="Arial" w:hAnsi="Arial" w:cs="Arial"/>
                <w:sz w:val="24"/>
                <w:szCs w:val="24"/>
              </w:rPr>
            </w:pPr>
            <w:proofErr w:type="spellStart"/>
            <w:r>
              <w:rPr>
                <w:rFonts w:ascii="Arial" w:hAnsi="Arial" w:cs="Arial"/>
                <w:sz w:val="24"/>
                <w:szCs w:val="24"/>
              </w:rPr>
              <w:t>BMid</w:t>
            </w:r>
            <w:proofErr w:type="spellEnd"/>
            <w:r>
              <w:rPr>
                <w:rFonts w:ascii="Arial" w:hAnsi="Arial" w:cs="Arial"/>
                <w:sz w:val="24"/>
                <w:szCs w:val="24"/>
              </w:rPr>
              <w:t xml:space="preserve"> Midwifery*</w:t>
            </w:r>
          </w:p>
        </w:tc>
        <w:tc>
          <w:tcPr>
            <w:tcW w:w="4110" w:type="dxa"/>
            <w:vMerge/>
          </w:tcPr>
          <w:p w14:paraId="091FADE4" w14:textId="77777777" w:rsidR="00CE7013" w:rsidRDefault="00CE7013" w:rsidP="00604112">
            <w:pPr>
              <w:rPr>
                <w:rFonts w:ascii="Arial" w:hAnsi="Arial" w:cs="Arial"/>
                <w:sz w:val="24"/>
                <w:szCs w:val="24"/>
              </w:rPr>
            </w:pPr>
          </w:p>
        </w:tc>
      </w:tr>
      <w:tr w:rsidR="00CE7013" w:rsidRPr="00920036" w14:paraId="350A3E78" w14:textId="77777777" w:rsidTr="00FB004B">
        <w:trPr>
          <w:trHeight w:val="415"/>
          <w:jc w:val="center"/>
        </w:trPr>
        <w:tc>
          <w:tcPr>
            <w:tcW w:w="2207" w:type="dxa"/>
            <w:vMerge/>
          </w:tcPr>
          <w:p w14:paraId="001840EA" w14:textId="77777777" w:rsidR="00CE7013" w:rsidRDefault="00CE7013" w:rsidP="00604112">
            <w:pPr>
              <w:rPr>
                <w:rFonts w:ascii="Arial" w:hAnsi="Arial" w:cs="Arial"/>
                <w:color w:val="000000"/>
                <w:sz w:val="24"/>
                <w:szCs w:val="24"/>
              </w:rPr>
            </w:pPr>
          </w:p>
        </w:tc>
        <w:tc>
          <w:tcPr>
            <w:tcW w:w="3884" w:type="dxa"/>
          </w:tcPr>
          <w:p w14:paraId="3D7F0AEE" w14:textId="330D5A35" w:rsidR="00CE7013" w:rsidRDefault="00CE7013" w:rsidP="00604112">
            <w:pPr>
              <w:rPr>
                <w:rFonts w:ascii="Arial" w:hAnsi="Arial" w:cs="Arial"/>
                <w:sz w:val="24"/>
                <w:szCs w:val="24"/>
              </w:rPr>
            </w:pPr>
            <w:r>
              <w:rPr>
                <w:rFonts w:ascii="Arial" w:hAnsi="Arial" w:cs="Arial"/>
                <w:sz w:val="24"/>
                <w:szCs w:val="24"/>
              </w:rPr>
              <w:t>PGDip Midwifery*</w:t>
            </w:r>
          </w:p>
        </w:tc>
        <w:tc>
          <w:tcPr>
            <w:tcW w:w="4110" w:type="dxa"/>
            <w:vMerge/>
          </w:tcPr>
          <w:p w14:paraId="4DD30F99" w14:textId="77777777" w:rsidR="00CE7013" w:rsidRDefault="00CE7013" w:rsidP="00604112">
            <w:pPr>
              <w:rPr>
                <w:rFonts w:ascii="Arial" w:hAnsi="Arial" w:cs="Arial"/>
                <w:sz w:val="24"/>
                <w:szCs w:val="24"/>
              </w:rPr>
            </w:pPr>
          </w:p>
        </w:tc>
      </w:tr>
      <w:tr w:rsidR="00CE7013" w:rsidRPr="00920036" w14:paraId="48452B51" w14:textId="77777777" w:rsidTr="00FB004B">
        <w:trPr>
          <w:trHeight w:val="415"/>
          <w:jc w:val="center"/>
        </w:trPr>
        <w:tc>
          <w:tcPr>
            <w:tcW w:w="2207" w:type="dxa"/>
            <w:vMerge w:val="restart"/>
          </w:tcPr>
          <w:p w14:paraId="70E7FB23" w14:textId="77777777" w:rsidR="00CE7013" w:rsidRPr="00920036" w:rsidRDefault="00CE7013" w:rsidP="00B403B1">
            <w:pPr>
              <w:rPr>
                <w:rFonts w:ascii="Arial" w:hAnsi="Arial" w:cs="Arial"/>
                <w:color w:val="000000"/>
                <w:sz w:val="24"/>
                <w:szCs w:val="24"/>
              </w:rPr>
            </w:pPr>
            <w:r>
              <w:rPr>
                <w:rFonts w:ascii="Arial" w:hAnsi="Arial" w:cs="Arial"/>
                <w:color w:val="000000"/>
                <w:sz w:val="24"/>
                <w:szCs w:val="24"/>
              </w:rPr>
              <w:t>SMCSE</w:t>
            </w:r>
          </w:p>
        </w:tc>
        <w:tc>
          <w:tcPr>
            <w:tcW w:w="3884" w:type="dxa"/>
            <w:vMerge w:val="restart"/>
          </w:tcPr>
          <w:p w14:paraId="0E9A6707" w14:textId="77777777" w:rsidR="00CE7013" w:rsidRPr="00412C95" w:rsidRDefault="00CE7013" w:rsidP="00B403B1">
            <w:pPr>
              <w:rPr>
                <w:rFonts w:ascii="Arial" w:hAnsi="Arial" w:cs="Arial"/>
                <w:sz w:val="24"/>
                <w:szCs w:val="24"/>
              </w:rPr>
            </w:pPr>
            <w:r>
              <w:rPr>
                <w:rFonts w:ascii="Arial" w:hAnsi="Arial" w:cs="Arial"/>
                <w:sz w:val="24"/>
                <w:szCs w:val="24"/>
              </w:rPr>
              <w:t>N/A</w:t>
            </w:r>
          </w:p>
        </w:tc>
        <w:tc>
          <w:tcPr>
            <w:tcW w:w="4110" w:type="dxa"/>
          </w:tcPr>
          <w:p w14:paraId="546F2E04" w14:textId="77777777" w:rsidR="00CE7013" w:rsidRPr="00920036" w:rsidRDefault="00CE7013" w:rsidP="00B403B1">
            <w:pPr>
              <w:rPr>
                <w:rFonts w:ascii="Arial" w:hAnsi="Arial" w:cs="Arial"/>
                <w:color w:val="000000"/>
                <w:sz w:val="24"/>
                <w:szCs w:val="24"/>
              </w:rPr>
            </w:pPr>
            <w:r>
              <w:rPr>
                <w:rFonts w:ascii="Arial" w:hAnsi="Arial" w:cs="Arial"/>
                <w:color w:val="000000"/>
                <w:sz w:val="24"/>
                <w:szCs w:val="24"/>
              </w:rPr>
              <w:t>Foundation Year Computer Science</w:t>
            </w:r>
          </w:p>
        </w:tc>
      </w:tr>
      <w:tr w:rsidR="00CE7013" w:rsidRPr="00920036" w14:paraId="7E3EE8E3" w14:textId="77777777" w:rsidTr="00FB004B">
        <w:trPr>
          <w:trHeight w:val="415"/>
          <w:jc w:val="center"/>
        </w:trPr>
        <w:tc>
          <w:tcPr>
            <w:tcW w:w="2207" w:type="dxa"/>
            <w:vMerge/>
          </w:tcPr>
          <w:p w14:paraId="209B906E" w14:textId="77777777" w:rsidR="00CE7013" w:rsidRDefault="00CE7013" w:rsidP="00B403B1">
            <w:pPr>
              <w:rPr>
                <w:rFonts w:ascii="Arial" w:hAnsi="Arial" w:cs="Arial"/>
                <w:color w:val="000000"/>
                <w:sz w:val="24"/>
                <w:szCs w:val="24"/>
              </w:rPr>
            </w:pPr>
          </w:p>
        </w:tc>
        <w:tc>
          <w:tcPr>
            <w:tcW w:w="3884" w:type="dxa"/>
            <w:vMerge/>
          </w:tcPr>
          <w:p w14:paraId="0B0082D0" w14:textId="77777777" w:rsidR="00CE7013" w:rsidRPr="00412C95" w:rsidRDefault="00CE7013" w:rsidP="00B403B1">
            <w:pPr>
              <w:rPr>
                <w:rFonts w:ascii="Arial" w:hAnsi="Arial" w:cs="Arial"/>
                <w:sz w:val="24"/>
                <w:szCs w:val="24"/>
              </w:rPr>
            </w:pPr>
          </w:p>
        </w:tc>
        <w:tc>
          <w:tcPr>
            <w:tcW w:w="4110" w:type="dxa"/>
          </w:tcPr>
          <w:p w14:paraId="2DA7178B" w14:textId="77777777" w:rsidR="00CE7013" w:rsidRPr="00920036" w:rsidRDefault="00CE7013" w:rsidP="00B403B1">
            <w:pPr>
              <w:rPr>
                <w:rFonts w:ascii="Arial" w:hAnsi="Arial" w:cs="Arial"/>
                <w:color w:val="000000"/>
                <w:sz w:val="24"/>
                <w:szCs w:val="24"/>
              </w:rPr>
            </w:pPr>
            <w:r>
              <w:rPr>
                <w:rFonts w:ascii="Arial" w:hAnsi="Arial" w:cs="Arial"/>
                <w:color w:val="000000"/>
                <w:sz w:val="24"/>
                <w:szCs w:val="24"/>
              </w:rPr>
              <w:t>Foundation Year Mathematics</w:t>
            </w:r>
          </w:p>
        </w:tc>
      </w:tr>
    </w:tbl>
    <w:p w14:paraId="2E1FF43D" w14:textId="77777777" w:rsidR="00412C95" w:rsidRDefault="00412C95" w:rsidP="00604112">
      <w:pPr>
        <w:spacing w:after="0"/>
        <w:rPr>
          <w:rFonts w:ascii="Arial" w:eastAsia="Times New Roman" w:hAnsi="Arial" w:cs="Arial"/>
          <w:color w:val="000000"/>
          <w:sz w:val="24"/>
          <w:szCs w:val="24"/>
          <w:lang w:eastAsia="en-GB"/>
        </w:rPr>
      </w:pPr>
    </w:p>
    <w:p w14:paraId="7EBFC217" w14:textId="48F39D8C" w:rsidR="00604112" w:rsidRDefault="00604112" w:rsidP="00604112">
      <w:pPr>
        <w:spacing w:after="0"/>
        <w:rPr>
          <w:rFonts w:ascii="Arial" w:eastAsia="Times New Roman" w:hAnsi="Arial" w:cs="Arial"/>
          <w:color w:val="000000"/>
          <w:sz w:val="24"/>
          <w:szCs w:val="24"/>
          <w:lang w:eastAsia="en-GB"/>
        </w:rPr>
      </w:pPr>
      <w:r w:rsidRPr="00920036">
        <w:rPr>
          <w:rFonts w:ascii="Arial" w:eastAsia="Times New Roman" w:hAnsi="Arial" w:cs="Arial"/>
          <w:color w:val="000000"/>
          <w:sz w:val="24"/>
          <w:szCs w:val="24"/>
          <w:lang w:eastAsia="en-GB"/>
        </w:rPr>
        <w:t xml:space="preserve">* </w:t>
      </w:r>
      <w:r w:rsidR="00CE7013">
        <w:rPr>
          <w:rFonts w:ascii="Arial" w:eastAsia="Times New Roman" w:hAnsi="Arial" w:cs="Arial"/>
          <w:color w:val="000000"/>
          <w:sz w:val="24"/>
          <w:szCs w:val="24"/>
          <w:lang w:eastAsia="en-GB"/>
        </w:rPr>
        <w:t>A</w:t>
      </w:r>
      <w:r w:rsidRPr="00920036">
        <w:rPr>
          <w:rFonts w:ascii="Arial" w:eastAsia="Times New Roman" w:hAnsi="Arial" w:cs="Arial"/>
          <w:color w:val="000000"/>
          <w:sz w:val="24"/>
          <w:szCs w:val="24"/>
          <w:lang w:eastAsia="en-GB"/>
        </w:rPr>
        <w:t>pproved but is still subject to outstanding conditions</w:t>
      </w:r>
      <w:r w:rsidR="001237A2">
        <w:rPr>
          <w:rFonts w:ascii="Arial" w:eastAsia="Times New Roman" w:hAnsi="Arial" w:cs="Arial"/>
          <w:color w:val="000000"/>
          <w:sz w:val="24"/>
          <w:szCs w:val="24"/>
          <w:lang w:eastAsia="en-GB"/>
        </w:rPr>
        <w:t xml:space="preserve">. </w:t>
      </w:r>
    </w:p>
    <w:p w14:paraId="44EFD708" w14:textId="77777777" w:rsidR="009A464E" w:rsidRPr="00920036" w:rsidRDefault="009A464E" w:rsidP="00604112">
      <w:pPr>
        <w:spacing w:after="0"/>
        <w:rPr>
          <w:rFonts w:ascii="Arial" w:eastAsia="Times New Roman" w:hAnsi="Arial" w:cs="Arial"/>
          <w:color w:val="000000"/>
          <w:sz w:val="24"/>
          <w:szCs w:val="24"/>
          <w:lang w:eastAsia="en-GB"/>
        </w:rPr>
      </w:pPr>
    </w:p>
    <w:p w14:paraId="378BD55E" w14:textId="1BC500F6" w:rsidR="00555082" w:rsidRPr="009A464E" w:rsidRDefault="00B952CA" w:rsidP="009A464E">
      <w:pPr>
        <w:pStyle w:val="ListParagraph"/>
        <w:numPr>
          <w:ilvl w:val="0"/>
          <w:numId w:val="25"/>
        </w:numPr>
        <w:rPr>
          <w:rFonts w:ascii="Arial" w:hAnsi="Arial" w:cs="Arial"/>
          <w:b/>
          <w:sz w:val="24"/>
          <w:szCs w:val="24"/>
        </w:rPr>
      </w:pPr>
      <w:r w:rsidRPr="009A464E">
        <w:rPr>
          <w:rFonts w:ascii="Arial" w:hAnsi="Arial" w:cs="Arial"/>
          <w:b/>
          <w:sz w:val="24"/>
          <w:szCs w:val="24"/>
        </w:rPr>
        <w:lastRenderedPageBreak/>
        <w:t>Stage 1</w:t>
      </w:r>
      <w:r w:rsidR="00B4726C" w:rsidRPr="009A464E">
        <w:rPr>
          <w:rFonts w:ascii="Arial" w:hAnsi="Arial" w:cs="Arial"/>
          <w:b/>
          <w:sz w:val="24"/>
          <w:szCs w:val="24"/>
        </w:rPr>
        <w:t xml:space="preserve"> Overview</w:t>
      </w:r>
    </w:p>
    <w:p w14:paraId="69354E2F" w14:textId="239D2092" w:rsidR="00591FB3" w:rsidRDefault="004F345F" w:rsidP="009A464E">
      <w:pPr>
        <w:pStyle w:val="ListParagraph"/>
        <w:numPr>
          <w:ilvl w:val="0"/>
          <w:numId w:val="26"/>
        </w:numPr>
        <w:rPr>
          <w:rFonts w:ascii="Arial" w:hAnsi="Arial" w:cs="Arial"/>
          <w:sz w:val="24"/>
          <w:szCs w:val="24"/>
        </w:rPr>
      </w:pPr>
      <w:bookmarkStart w:id="0" w:name="_Hlk48489128"/>
      <w:r>
        <w:rPr>
          <w:rFonts w:ascii="Arial" w:hAnsi="Arial" w:cs="Arial"/>
          <w:sz w:val="24"/>
          <w:szCs w:val="24"/>
        </w:rPr>
        <w:t>Seven</w:t>
      </w:r>
      <w:r w:rsidR="001237A2">
        <w:rPr>
          <w:rFonts w:ascii="Arial" w:hAnsi="Arial" w:cs="Arial"/>
          <w:sz w:val="24"/>
          <w:szCs w:val="24"/>
        </w:rPr>
        <w:t xml:space="preserve"> </w:t>
      </w:r>
      <w:r w:rsidR="00591FB3" w:rsidRPr="00920036">
        <w:rPr>
          <w:rFonts w:ascii="Arial" w:hAnsi="Arial" w:cs="Arial"/>
          <w:sz w:val="24"/>
          <w:szCs w:val="24"/>
        </w:rPr>
        <w:t>proposals</w:t>
      </w:r>
      <w:r w:rsidR="009436AF" w:rsidRPr="00920036">
        <w:rPr>
          <w:rFonts w:ascii="Arial" w:hAnsi="Arial" w:cs="Arial"/>
          <w:sz w:val="24"/>
          <w:szCs w:val="24"/>
        </w:rPr>
        <w:t xml:space="preserve"> (down from</w:t>
      </w:r>
      <w:r w:rsidR="001237A2">
        <w:rPr>
          <w:rFonts w:ascii="Arial" w:hAnsi="Arial" w:cs="Arial"/>
          <w:sz w:val="24"/>
          <w:szCs w:val="24"/>
        </w:rPr>
        <w:t xml:space="preserve"> </w:t>
      </w:r>
      <w:r>
        <w:rPr>
          <w:rFonts w:ascii="Arial" w:hAnsi="Arial" w:cs="Arial"/>
          <w:sz w:val="24"/>
          <w:szCs w:val="24"/>
        </w:rPr>
        <w:t>eleven</w:t>
      </w:r>
      <w:r w:rsidR="001237A2">
        <w:rPr>
          <w:rFonts w:ascii="Arial" w:hAnsi="Arial" w:cs="Arial"/>
          <w:sz w:val="24"/>
          <w:szCs w:val="24"/>
        </w:rPr>
        <w:t xml:space="preserve"> in 2019/20 and</w:t>
      </w:r>
      <w:r w:rsidR="009436AF" w:rsidRPr="00920036">
        <w:rPr>
          <w:rFonts w:ascii="Arial" w:hAnsi="Arial" w:cs="Arial"/>
          <w:sz w:val="24"/>
          <w:szCs w:val="24"/>
        </w:rPr>
        <w:t xml:space="preserve"> </w:t>
      </w:r>
      <w:r>
        <w:rPr>
          <w:rFonts w:ascii="Arial" w:hAnsi="Arial" w:cs="Arial"/>
          <w:sz w:val="24"/>
          <w:szCs w:val="24"/>
        </w:rPr>
        <w:t>seventeen</w:t>
      </w:r>
      <w:r w:rsidR="009436AF" w:rsidRPr="00920036">
        <w:rPr>
          <w:rFonts w:ascii="Arial" w:hAnsi="Arial" w:cs="Arial"/>
          <w:sz w:val="24"/>
          <w:szCs w:val="24"/>
        </w:rPr>
        <w:t xml:space="preserve"> in 2018/19) were considered</w:t>
      </w:r>
      <w:r>
        <w:rPr>
          <w:rFonts w:ascii="Arial" w:hAnsi="Arial" w:cs="Arial"/>
          <w:sz w:val="24"/>
          <w:szCs w:val="24"/>
        </w:rPr>
        <w:t xml:space="preserve"> and all were approved.</w:t>
      </w:r>
      <w:r w:rsidR="008500E7">
        <w:rPr>
          <w:rFonts w:ascii="Arial" w:hAnsi="Arial" w:cs="Arial"/>
          <w:sz w:val="24"/>
          <w:szCs w:val="24"/>
        </w:rPr>
        <w:t xml:space="preserve"> It is evident that the major amendment process (launched in 2019/20) has led to a reduction in Stage 1 submissions and thus quicker approval of amendments to existing programmes.</w:t>
      </w:r>
    </w:p>
    <w:p w14:paraId="7CFB5B44" w14:textId="3FD6B1E5" w:rsidR="001237A2" w:rsidRDefault="001237A2" w:rsidP="009A464E">
      <w:pPr>
        <w:pStyle w:val="ListParagraph"/>
        <w:numPr>
          <w:ilvl w:val="0"/>
          <w:numId w:val="26"/>
        </w:numPr>
        <w:rPr>
          <w:rFonts w:ascii="Arial" w:hAnsi="Arial" w:cs="Arial"/>
          <w:sz w:val="24"/>
          <w:szCs w:val="24"/>
        </w:rPr>
      </w:pPr>
      <w:r>
        <w:rPr>
          <w:rFonts w:ascii="Arial" w:hAnsi="Arial" w:cs="Arial"/>
          <w:sz w:val="24"/>
          <w:szCs w:val="24"/>
        </w:rPr>
        <w:t>The MSc Innovation and Entrepreneurship in Healthcare Technology was approved at Stage 1 in 2020/21</w:t>
      </w:r>
      <w:r w:rsidR="00CE7013">
        <w:rPr>
          <w:rFonts w:ascii="Arial" w:hAnsi="Arial" w:cs="Arial"/>
          <w:sz w:val="24"/>
          <w:szCs w:val="24"/>
        </w:rPr>
        <w:t>.</w:t>
      </w:r>
      <w:r>
        <w:rPr>
          <w:rFonts w:ascii="Arial" w:hAnsi="Arial" w:cs="Arial"/>
          <w:sz w:val="24"/>
          <w:szCs w:val="24"/>
        </w:rPr>
        <w:t xml:space="preserve"> </w:t>
      </w:r>
      <w:r w:rsidR="00CE7013">
        <w:rPr>
          <w:rFonts w:ascii="Arial" w:hAnsi="Arial" w:cs="Arial"/>
          <w:sz w:val="24"/>
          <w:szCs w:val="24"/>
        </w:rPr>
        <w:t>H</w:t>
      </w:r>
      <w:r>
        <w:rPr>
          <w:rFonts w:ascii="Arial" w:hAnsi="Arial" w:cs="Arial"/>
          <w:sz w:val="24"/>
          <w:szCs w:val="24"/>
        </w:rPr>
        <w:t xml:space="preserve">owever, SMCSE </w:t>
      </w:r>
      <w:r w:rsidR="00CE7013">
        <w:rPr>
          <w:rFonts w:ascii="Arial" w:hAnsi="Arial" w:cs="Arial"/>
          <w:sz w:val="24"/>
          <w:szCs w:val="24"/>
        </w:rPr>
        <w:t xml:space="preserve">did not </w:t>
      </w:r>
      <w:r>
        <w:rPr>
          <w:rFonts w:ascii="Arial" w:hAnsi="Arial" w:cs="Arial"/>
          <w:sz w:val="24"/>
          <w:szCs w:val="24"/>
        </w:rPr>
        <w:t>proceed with the programme and a Stage 2 submission.</w:t>
      </w:r>
    </w:p>
    <w:p w14:paraId="4C5A8704" w14:textId="53970CA8" w:rsidR="001237A2" w:rsidRPr="009A464E" w:rsidRDefault="001237A2" w:rsidP="009A464E">
      <w:pPr>
        <w:pStyle w:val="ListParagraph"/>
        <w:numPr>
          <w:ilvl w:val="0"/>
          <w:numId w:val="26"/>
        </w:numPr>
        <w:rPr>
          <w:rFonts w:ascii="Arial" w:hAnsi="Arial" w:cs="Arial"/>
          <w:sz w:val="24"/>
          <w:szCs w:val="24"/>
        </w:rPr>
      </w:pPr>
      <w:r w:rsidRPr="009A464E">
        <w:rPr>
          <w:rFonts w:ascii="Arial" w:eastAsia="Times New Roman" w:hAnsi="Arial" w:cs="Arial"/>
          <w:color w:val="000000"/>
          <w:sz w:val="24"/>
          <w:szCs w:val="24"/>
          <w:lang w:eastAsia="en-GB"/>
        </w:rPr>
        <w:t>The two Stage 1 Midwifery programmes are in fac</w:t>
      </w:r>
      <w:r w:rsidR="009A464E" w:rsidRPr="009A464E">
        <w:rPr>
          <w:rFonts w:ascii="Arial" w:eastAsia="Times New Roman" w:hAnsi="Arial" w:cs="Arial"/>
          <w:color w:val="000000"/>
          <w:sz w:val="24"/>
          <w:szCs w:val="24"/>
          <w:lang w:eastAsia="en-GB"/>
        </w:rPr>
        <w:t>t</w:t>
      </w:r>
      <w:r w:rsidRPr="009A464E">
        <w:rPr>
          <w:rFonts w:ascii="Arial" w:eastAsia="Times New Roman" w:hAnsi="Arial" w:cs="Arial"/>
          <w:color w:val="000000"/>
          <w:sz w:val="24"/>
          <w:szCs w:val="24"/>
          <w:lang w:eastAsia="en-GB"/>
        </w:rPr>
        <w:t xml:space="preserve"> amendments to the existing programmes due to new Nursing and Midwifery Council (NMC) standards.</w:t>
      </w:r>
    </w:p>
    <w:p w14:paraId="4EF3B253" w14:textId="61FF44D3" w:rsidR="009436AF" w:rsidRDefault="004F345F" w:rsidP="009A464E">
      <w:pPr>
        <w:pStyle w:val="ListParagraph"/>
        <w:numPr>
          <w:ilvl w:val="0"/>
          <w:numId w:val="26"/>
        </w:numPr>
        <w:rPr>
          <w:rFonts w:ascii="Arial" w:hAnsi="Arial" w:cs="Arial"/>
          <w:sz w:val="24"/>
          <w:szCs w:val="24"/>
        </w:rPr>
      </w:pPr>
      <w:r>
        <w:rPr>
          <w:rFonts w:ascii="Arial" w:hAnsi="Arial" w:cs="Arial"/>
          <w:sz w:val="24"/>
          <w:szCs w:val="24"/>
        </w:rPr>
        <w:t>Four</w:t>
      </w:r>
      <w:r w:rsidR="009436AF" w:rsidRPr="00920036">
        <w:rPr>
          <w:rFonts w:ascii="Arial" w:hAnsi="Arial" w:cs="Arial"/>
          <w:sz w:val="24"/>
          <w:szCs w:val="24"/>
        </w:rPr>
        <w:t xml:space="preserve"> UPAC Stage 1 meeting</w:t>
      </w:r>
      <w:r w:rsidR="001237A2">
        <w:rPr>
          <w:rFonts w:ascii="Arial" w:hAnsi="Arial" w:cs="Arial"/>
          <w:sz w:val="24"/>
          <w:szCs w:val="24"/>
        </w:rPr>
        <w:t>s</w:t>
      </w:r>
      <w:r w:rsidR="009436AF" w:rsidRPr="00920036">
        <w:rPr>
          <w:rFonts w:ascii="Arial" w:hAnsi="Arial" w:cs="Arial"/>
          <w:sz w:val="24"/>
          <w:szCs w:val="24"/>
        </w:rPr>
        <w:t xml:space="preserve"> took place</w:t>
      </w:r>
      <w:r w:rsidR="001237A2">
        <w:rPr>
          <w:rFonts w:ascii="Arial" w:hAnsi="Arial" w:cs="Arial"/>
          <w:sz w:val="24"/>
          <w:szCs w:val="24"/>
        </w:rPr>
        <w:t xml:space="preserve"> in 2020/21</w:t>
      </w:r>
      <w:r w:rsidR="009436AF" w:rsidRPr="00920036">
        <w:rPr>
          <w:rFonts w:ascii="Arial" w:hAnsi="Arial" w:cs="Arial"/>
          <w:sz w:val="24"/>
          <w:szCs w:val="24"/>
        </w:rPr>
        <w:t>.</w:t>
      </w:r>
    </w:p>
    <w:p w14:paraId="19003197" w14:textId="77777777" w:rsidR="009A464E" w:rsidRPr="00920036" w:rsidRDefault="009A464E" w:rsidP="009A464E">
      <w:pPr>
        <w:pStyle w:val="ListParagraph"/>
        <w:rPr>
          <w:rFonts w:ascii="Arial" w:hAnsi="Arial" w:cs="Arial"/>
          <w:sz w:val="24"/>
          <w:szCs w:val="24"/>
        </w:rPr>
      </w:pPr>
    </w:p>
    <w:p w14:paraId="2F8817AB" w14:textId="77777777" w:rsidR="00B952CA" w:rsidRPr="009A464E" w:rsidRDefault="00B952CA" w:rsidP="009A464E">
      <w:pPr>
        <w:pStyle w:val="ListParagraph"/>
        <w:numPr>
          <w:ilvl w:val="0"/>
          <w:numId w:val="25"/>
        </w:numPr>
        <w:rPr>
          <w:rFonts w:ascii="Arial" w:hAnsi="Arial" w:cs="Arial"/>
          <w:b/>
          <w:sz w:val="24"/>
          <w:szCs w:val="24"/>
        </w:rPr>
      </w:pPr>
      <w:bookmarkStart w:id="1" w:name="_Hlk48838084"/>
      <w:bookmarkEnd w:id="0"/>
      <w:r w:rsidRPr="009A464E">
        <w:rPr>
          <w:rFonts w:ascii="Arial" w:hAnsi="Arial" w:cs="Arial"/>
          <w:b/>
          <w:sz w:val="24"/>
          <w:szCs w:val="24"/>
        </w:rPr>
        <w:t xml:space="preserve">Several themes were evident </w:t>
      </w:r>
      <w:bookmarkEnd w:id="1"/>
      <w:r w:rsidRPr="009A464E">
        <w:rPr>
          <w:rFonts w:ascii="Arial" w:hAnsi="Arial" w:cs="Arial"/>
          <w:b/>
          <w:sz w:val="24"/>
          <w:szCs w:val="24"/>
        </w:rPr>
        <w:t>in the conditions set at Stage 1:</w:t>
      </w:r>
    </w:p>
    <w:p w14:paraId="1F16D426" w14:textId="3D17C248" w:rsidR="00911FA7" w:rsidRPr="00920036" w:rsidRDefault="00A52B3E" w:rsidP="009A464E">
      <w:pPr>
        <w:pStyle w:val="ListParagraph"/>
        <w:numPr>
          <w:ilvl w:val="0"/>
          <w:numId w:val="27"/>
        </w:numPr>
        <w:rPr>
          <w:rFonts w:ascii="Arial" w:hAnsi="Arial" w:cs="Arial"/>
          <w:sz w:val="24"/>
          <w:szCs w:val="24"/>
        </w:rPr>
      </w:pPr>
      <w:r w:rsidRPr="00920036">
        <w:rPr>
          <w:rFonts w:ascii="Arial" w:hAnsi="Arial" w:cs="Arial"/>
          <w:sz w:val="24"/>
          <w:szCs w:val="24"/>
        </w:rPr>
        <w:t>A number of</w:t>
      </w:r>
      <w:r w:rsidR="005D5749" w:rsidRPr="00920036">
        <w:rPr>
          <w:rFonts w:ascii="Arial" w:hAnsi="Arial" w:cs="Arial"/>
          <w:sz w:val="24"/>
          <w:szCs w:val="24"/>
        </w:rPr>
        <w:t xml:space="preserve"> pro</w:t>
      </w:r>
      <w:r w:rsidR="00327599" w:rsidRPr="00920036">
        <w:rPr>
          <w:rFonts w:ascii="Arial" w:hAnsi="Arial" w:cs="Arial"/>
          <w:sz w:val="24"/>
          <w:szCs w:val="24"/>
        </w:rPr>
        <w:t xml:space="preserve">posals were submitted without the requisite sign-offs, </w:t>
      </w:r>
      <w:r w:rsidR="00E25B50" w:rsidRPr="00920036">
        <w:rPr>
          <w:rFonts w:ascii="Arial" w:hAnsi="Arial" w:cs="Arial"/>
          <w:sz w:val="24"/>
          <w:szCs w:val="24"/>
        </w:rPr>
        <w:t xml:space="preserve">often due to not requesting approval in time. </w:t>
      </w:r>
    </w:p>
    <w:p w14:paraId="49D57C03" w14:textId="1C8301B1" w:rsidR="00B952CA" w:rsidRPr="00920036" w:rsidRDefault="005D5749" w:rsidP="009A464E">
      <w:pPr>
        <w:pStyle w:val="ListParagraph"/>
        <w:numPr>
          <w:ilvl w:val="0"/>
          <w:numId w:val="27"/>
        </w:numPr>
        <w:rPr>
          <w:rFonts w:ascii="Arial" w:hAnsi="Arial" w:cs="Arial"/>
          <w:sz w:val="24"/>
          <w:szCs w:val="24"/>
        </w:rPr>
      </w:pPr>
      <w:r w:rsidRPr="00920036">
        <w:rPr>
          <w:rFonts w:ascii="Arial" w:hAnsi="Arial" w:cs="Arial"/>
          <w:sz w:val="24"/>
          <w:szCs w:val="24"/>
        </w:rPr>
        <w:t>O</w:t>
      </w:r>
      <w:r w:rsidR="00327599" w:rsidRPr="00920036">
        <w:rPr>
          <w:rFonts w:ascii="Arial" w:hAnsi="Arial" w:cs="Arial"/>
          <w:sz w:val="24"/>
          <w:szCs w:val="24"/>
        </w:rPr>
        <w:t>n several occasions Programme</w:t>
      </w:r>
      <w:r w:rsidRPr="00920036">
        <w:rPr>
          <w:rFonts w:ascii="Arial" w:hAnsi="Arial" w:cs="Arial"/>
          <w:sz w:val="24"/>
          <w:szCs w:val="24"/>
        </w:rPr>
        <w:t xml:space="preserve"> </w:t>
      </w:r>
      <w:r w:rsidR="00327599" w:rsidRPr="00920036">
        <w:rPr>
          <w:rFonts w:ascii="Arial" w:hAnsi="Arial" w:cs="Arial"/>
          <w:sz w:val="24"/>
          <w:szCs w:val="24"/>
        </w:rPr>
        <w:t>Teams were required to address the Stage 1 comments from LEaD, which had been received prior to Stage 1 submission, as a condition of approval.</w:t>
      </w:r>
      <w:r w:rsidR="00291482" w:rsidRPr="00920036">
        <w:rPr>
          <w:rFonts w:ascii="Arial" w:hAnsi="Arial" w:cs="Arial"/>
          <w:sz w:val="24"/>
          <w:szCs w:val="24"/>
        </w:rPr>
        <w:t xml:space="preserve"> Similarly, many comments from LEaD were noted during the UPAC meeting</w:t>
      </w:r>
      <w:r w:rsidR="00A62029" w:rsidRPr="00920036">
        <w:rPr>
          <w:rFonts w:ascii="Arial" w:hAnsi="Arial" w:cs="Arial"/>
          <w:sz w:val="24"/>
          <w:szCs w:val="24"/>
        </w:rPr>
        <w:t>.</w:t>
      </w:r>
      <w:r w:rsidR="00291482" w:rsidRPr="00920036">
        <w:rPr>
          <w:rFonts w:ascii="Arial" w:hAnsi="Arial" w:cs="Arial"/>
          <w:sz w:val="24"/>
          <w:szCs w:val="24"/>
        </w:rPr>
        <w:t xml:space="preserve"> </w:t>
      </w:r>
      <w:r w:rsidR="00A62029" w:rsidRPr="00920036">
        <w:rPr>
          <w:rFonts w:ascii="Arial" w:hAnsi="Arial" w:cs="Arial"/>
          <w:sz w:val="24"/>
          <w:szCs w:val="24"/>
        </w:rPr>
        <w:t>F</w:t>
      </w:r>
      <w:r w:rsidR="00291482" w:rsidRPr="00920036">
        <w:rPr>
          <w:rFonts w:ascii="Arial" w:hAnsi="Arial" w:cs="Arial"/>
          <w:sz w:val="24"/>
          <w:szCs w:val="24"/>
        </w:rPr>
        <w:t xml:space="preserve">urther work is needed to pick these up in advance. </w:t>
      </w:r>
      <w:r w:rsidR="00327599" w:rsidRPr="00920036">
        <w:rPr>
          <w:rFonts w:ascii="Arial" w:hAnsi="Arial" w:cs="Arial"/>
          <w:sz w:val="24"/>
          <w:szCs w:val="24"/>
        </w:rPr>
        <w:t xml:space="preserve"> </w:t>
      </w:r>
    </w:p>
    <w:p w14:paraId="27252981" w14:textId="5E55425B" w:rsidR="00555082" w:rsidRPr="00920036" w:rsidRDefault="007B1CB3" w:rsidP="009A464E">
      <w:pPr>
        <w:pStyle w:val="ListParagraph"/>
        <w:numPr>
          <w:ilvl w:val="0"/>
          <w:numId w:val="27"/>
        </w:numPr>
        <w:rPr>
          <w:rFonts w:ascii="Arial" w:hAnsi="Arial" w:cs="Arial"/>
          <w:sz w:val="24"/>
          <w:szCs w:val="24"/>
        </w:rPr>
      </w:pPr>
      <w:r w:rsidRPr="00920036">
        <w:rPr>
          <w:rFonts w:ascii="Arial" w:hAnsi="Arial" w:cs="Arial"/>
          <w:sz w:val="24"/>
          <w:szCs w:val="24"/>
        </w:rPr>
        <w:t>A common condition was to review module reading lists to include more up to date texts, if relevant, and a greater evidence of a broad cultural authorship.</w:t>
      </w:r>
      <w:r w:rsidR="00474859" w:rsidRPr="00920036">
        <w:rPr>
          <w:rFonts w:ascii="Arial" w:hAnsi="Arial" w:cs="Arial"/>
          <w:sz w:val="24"/>
          <w:szCs w:val="24"/>
        </w:rPr>
        <w:t xml:space="preserve"> It was also common that </w:t>
      </w:r>
      <w:proofErr w:type="spellStart"/>
      <w:r w:rsidR="00474859" w:rsidRPr="00920036">
        <w:rPr>
          <w:rFonts w:ascii="Arial" w:hAnsi="Arial" w:cs="Arial"/>
          <w:sz w:val="24"/>
          <w:szCs w:val="24"/>
        </w:rPr>
        <w:t>HECoS</w:t>
      </w:r>
      <w:proofErr w:type="spellEnd"/>
      <w:r w:rsidR="00474859" w:rsidRPr="00920036">
        <w:rPr>
          <w:rFonts w:ascii="Arial" w:hAnsi="Arial" w:cs="Arial"/>
          <w:sz w:val="24"/>
          <w:szCs w:val="24"/>
        </w:rPr>
        <w:t xml:space="preserve"> Codes were missing from </w:t>
      </w:r>
      <w:r w:rsidR="004F345F">
        <w:rPr>
          <w:rFonts w:ascii="Arial" w:hAnsi="Arial" w:cs="Arial"/>
          <w:sz w:val="24"/>
          <w:szCs w:val="24"/>
        </w:rPr>
        <w:t>the Stage 1 form</w:t>
      </w:r>
      <w:r w:rsidR="00474859" w:rsidRPr="00920036">
        <w:rPr>
          <w:rFonts w:ascii="Arial" w:hAnsi="Arial" w:cs="Arial"/>
          <w:sz w:val="24"/>
          <w:szCs w:val="24"/>
        </w:rPr>
        <w:t>.</w:t>
      </w:r>
      <w:r w:rsidRPr="00920036">
        <w:rPr>
          <w:rFonts w:ascii="Arial" w:hAnsi="Arial" w:cs="Arial"/>
          <w:sz w:val="24"/>
          <w:szCs w:val="24"/>
        </w:rPr>
        <w:t xml:space="preserve"> </w:t>
      </w:r>
    </w:p>
    <w:p w14:paraId="6B3C458C" w14:textId="4D58650C" w:rsidR="00474859" w:rsidRDefault="0074339A" w:rsidP="009A464E">
      <w:pPr>
        <w:pStyle w:val="ListParagraph"/>
        <w:numPr>
          <w:ilvl w:val="0"/>
          <w:numId w:val="27"/>
        </w:numPr>
        <w:rPr>
          <w:rFonts w:ascii="Arial" w:hAnsi="Arial" w:cs="Arial"/>
          <w:sz w:val="24"/>
          <w:szCs w:val="24"/>
        </w:rPr>
      </w:pPr>
      <w:r w:rsidRPr="00920036">
        <w:rPr>
          <w:rFonts w:ascii="Arial" w:hAnsi="Arial" w:cs="Arial"/>
          <w:sz w:val="24"/>
          <w:szCs w:val="24"/>
        </w:rPr>
        <w:t>Following a review of the template, a</w:t>
      </w:r>
      <w:r w:rsidR="00474859" w:rsidRPr="00920036">
        <w:rPr>
          <w:rFonts w:ascii="Arial" w:hAnsi="Arial" w:cs="Arial"/>
          <w:sz w:val="24"/>
          <w:szCs w:val="24"/>
        </w:rPr>
        <w:t xml:space="preserve">n updated programme and module specification template </w:t>
      </w:r>
      <w:r w:rsidRPr="00920036">
        <w:rPr>
          <w:rFonts w:ascii="Arial" w:hAnsi="Arial" w:cs="Arial"/>
          <w:sz w:val="24"/>
          <w:szCs w:val="24"/>
        </w:rPr>
        <w:t>was made</w:t>
      </w:r>
      <w:r w:rsidR="00474859" w:rsidRPr="00920036">
        <w:rPr>
          <w:rFonts w:ascii="Arial" w:hAnsi="Arial" w:cs="Arial"/>
          <w:sz w:val="24"/>
          <w:szCs w:val="24"/>
        </w:rPr>
        <w:t xml:space="preserve"> available on the Quality Manual</w:t>
      </w:r>
      <w:r w:rsidR="00D7189F" w:rsidRPr="00920036">
        <w:rPr>
          <w:rFonts w:ascii="Arial" w:hAnsi="Arial" w:cs="Arial"/>
          <w:sz w:val="24"/>
          <w:szCs w:val="24"/>
        </w:rPr>
        <w:t xml:space="preserve"> which provided clearer guidance on what to include in each section</w:t>
      </w:r>
      <w:r w:rsidRPr="00920036">
        <w:rPr>
          <w:rFonts w:ascii="Arial" w:hAnsi="Arial" w:cs="Arial"/>
          <w:sz w:val="24"/>
          <w:szCs w:val="24"/>
        </w:rPr>
        <w:t xml:space="preserve">. However, some </w:t>
      </w:r>
      <w:r w:rsidR="00474859" w:rsidRPr="00920036">
        <w:rPr>
          <w:rFonts w:ascii="Arial" w:hAnsi="Arial" w:cs="Arial"/>
          <w:sz w:val="24"/>
          <w:szCs w:val="24"/>
        </w:rPr>
        <w:t>Schools</w:t>
      </w:r>
      <w:r w:rsidRPr="00920036">
        <w:rPr>
          <w:rFonts w:ascii="Arial" w:hAnsi="Arial" w:cs="Arial"/>
          <w:sz w:val="24"/>
          <w:szCs w:val="24"/>
        </w:rPr>
        <w:t xml:space="preserve"> are yet to use the new template. </w:t>
      </w:r>
      <w:r w:rsidR="00474859" w:rsidRPr="00920036">
        <w:rPr>
          <w:rFonts w:ascii="Arial" w:hAnsi="Arial" w:cs="Arial"/>
          <w:sz w:val="24"/>
          <w:szCs w:val="24"/>
        </w:rPr>
        <w:t xml:space="preserve"> </w:t>
      </w:r>
    </w:p>
    <w:p w14:paraId="5329510E" w14:textId="77777777" w:rsidR="009A464E" w:rsidRPr="00920036" w:rsidRDefault="009A464E" w:rsidP="009A464E">
      <w:pPr>
        <w:pStyle w:val="ListParagraph"/>
        <w:ind w:left="644"/>
        <w:rPr>
          <w:rFonts w:ascii="Arial" w:hAnsi="Arial" w:cs="Arial"/>
          <w:sz w:val="24"/>
          <w:szCs w:val="24"/>
        </w:rPr>
      </w:pPr>
    </w:p>
    <w:p w14:paraId="02A71137" w14:textId="2E3EA552" w:rsidR="00A557AE" w:rsidRPr="009A464E" w:rsidRDefault="0022351E" w:rsidP="009A464E">
      <w:pPr>
        <w:pStyle w:val="ListParagraph"/>
        <w:numPr>
          <w:ilvl w:val="0"/>
          <w:numId w:val="25"/>
        </w:numPr>
        <w:rPr>
          <w:rFonts w:ascii="Arial" w:hAnsi="Arial" w:cs="Arial"/>
          <w:sz w:val="24"/>
          <w:szCs w:val="24"/>
        </w:rPr>
      </w:pPr>
      <w:r w:rsidRPr="009A464E">
        <w:rPr>
          <w:rFonts w:ascii="Arial" w:hAnsi="Arial" w:cs="Arial"/>
          <w:b/>
          <w:sz w:val="24"/>
          <w:szCs w:val="24"/>
        </w:rPr>
        <w:t xml:space="preserve">Stage 1 </w:t>
      </w:r>
      <w:r w:rsidR="00A557AE" w:rsidRPr="009A464E">
        <w:rPr>
          <w:rFonts w:ascii="Arial" w:hAnsi="Arial" w:cs="Arial"/>
          <w:b/>
          <w:sz w:val="24"/>
          <w:szCs w:val="24"/>
        </w:rPr>
        <w:t>Commendations</w:t>
      </w:r>
    </w:p>
    <w:p w14:paraId="6BF24A75" w14:textId="17D71552" w:rsidR="003B258E" w:rsidRPr="00920036" w:rsidRDefault="003B258E" w:rsidP="00B952CA">
      <w:pPr>
        <w:rPr>
          <w:rFonts w:ascii="Arial" w:hAnsi="Arial" w:cs="Arial"/>
          <w:sz w:val="24"/>
          <w:szCs w:val="24"/>
        </w:rPr>
      </w:pPr>
      <w:r w:rsidRPr="00920036">
        <w:rPr>
          <w:rFonts w:ascii="Arial" w:hAnsi="Arial" w:cs="Arial"/>
          <w:sz w:val="24"/>
          <w:szCs w:val="24"/>
        </w:rPr>
        <w:t>A number of formal commendations were noted by the Committee. These included:</w:t>
      </w:r>
    </w:p>
    <w:p w14:paraId="491F5DF8" w14:textId="4BE4D3A0" w:rsidR="003B258E" w:rsidRPr="00920036" w:rsidRDefault="00A966AB" w:rsidP="002C31B1">
      <w:pPr>
        <w:pStyle w:val="ListParagraph"/>
        <w:numPr>
          <w:ilvl w:val="0"/>
          <w:numId w:val="5"/>
        </w:numPr>
        <w:rPr>
          <w:rFonts w:ascii="Arial" w:hAnsi="Arial" w:cs="Arial"/>
          <w:b/>
          <w:i/>
          <w:sz w:val="24"/>
          <w:szCs w:val="24"/>
        </w:rPr>
      </w:pPr>
      <w:r w:rsidRPr="00920036">
        <w:rPr>
          <w:rFonts w:ascii="Arial" w:hAnsi="Arial" w:cs="Arial"/>
          <w:sz w:val="24"/>
          <w:szCs w:val="24"/>
        </w:rPr>
        <w:t xml:space="preserve">The commitment to improving the student experience through innovative and engaging development. </w:t>
      </w:r>
    </w:p>
    <w:p w14:paraId="24977B0B" w14:textId="5A88872F" w:rsidR="00474859" w:rsidRPr="00920036" w:rsidRDefault="00474859" w:rsidP="002C31B1">
      <w:pPr>
        <w:pStyle w:val="ListParagraph"/>
        <w:numPr>
          <w:ilvl w:val="0"/>
          <w:numId w:val="5"/>
        </w:numPr>
        <w:rPr>
          <w:rFonts w:ascii="Arial" w:hAnsi="Arial" w:cs="Arial"/>
          <w:sz w:val="24"/>
          <w:szCs w:val="24"/>
        </w:rPr>
      </w:pPr>
      <w:r w:rsidRPr="00920036">
        <w:rPr>
          <w:rFonts w:ascii="Arial" w:hAnsi="Arial" w:cs="Arial"/>
          <w:sz w:val="24"/>
          <w:szCs w:val="24"/>
        </w:rPr>
        <w:t>Reacting quickly to emerging market and student demand and sector needs.</w:t>
      </w:r>
    </w:p>
    <w:p w14:paraId="1B959545" w14:textId="323D44FB" w:rsidR="008A0CEB" w:rsidRPr="009A464E" w:rsidRDefault="00A966AB" w:rsidP="002C31B1">
      <w:pPr>
        <w:pStyle w:val="ListParagraph"/>
        <w:numPr>
          <w:ilvl w:val="0"/>
          <w:numId w:val="5"/>
        </w:numPr>
        <w:rPr>
          <w:rFonts w:ascii="Arial" w:hAnsi="Arial" w:cs="Arial"/>
          <w:b/>
          <w:i/>
          <w:sz w:val="24"/>
          <w:szCs w:val="24"/>
        </w:rPr>
      </w:pPr>
      <w:r w:rsidRPr="00920036">
        <w:rPr>
          <w:rFonts w:ascii="Arial" w:hAnsi="Arial" w:cs="Arial"/>
          <w:sz w:val="24"/>
          <w:szCs w:val="24"/>
        </w:rPr>
        <w:t>The quality and clarity of the documentation submitted.</w:t>
      </w:r>
    </w:p>
    <w:p w14:paraId="738C2F5E" w14:textId="77777777" w:rsidR="009A464E" w:rsidRPr="009A464E" w:rsidRDefault="009A464E" w:rsidP="009A464E">
      <w:pPr>
        <w:rPr>
          <w:rFonts w:ascii="Arial" w:hAnsi="Arial" w:cs="Arial"/>
          <w:b/>
          <w:i/>
          <w:sz w:val="24"/>
          <w:szCs w:val="24"/>
        </w:rPr>
      </w:pPr>
    </w:p>
    <w:p w14:paraId="4AFD8CBB" w14:textId="62C5D315" w:rsidR="00B952CA" w:rsidRPr="009A464E" w:rsidRDefault="00B952CA" w:rsidP="009A464E">
      <w:pPr>
        <w:pStyle w:val="ListParagraph"/>
        <w:numPr>
          <w:ilvl w:val="0"/>
          <w:numId w:val="25"/>
        </w:numPr>
        <w:rPr>
          <w:rFonts w:ascii="Arial" w:hAnsi="Arial" w:cs="Arial"/>
          <w:b/>
          <w:sz w:val="24"/>
          <w:szCs w:val="24"/>
        </w:rPr>
      </w:pPr>
      <w:r w:rsidRPr="009A464E">
        <w:rPr>
          <w:rFonts w:ascii="Arial" w:hAnsi="Arial" w:cs="Arial"/>
          <w:b/>
          <w:sz w:val="24"/>
          <w:szCs w:val="24"/>
        </w:rPr>
        <w:t>Stage 2</w:t>
      </w:r>
      <w:r w:rsidR="00B4726C" w:rsidRPr="009A464E">
        <w:rPr>
          <w:rFonts w:ascii="Arial" w:hAnsi="Arial" w:cs="Arial"/>
          <w:b/>
          <w:sz w:val="24"/>
          <w:szCs w:val="24"/>
        </w:rPr>
        <w:t xml:space="preserve"> Overview </w:t>
      </w:r>
    </w:p>
    <w:p w14:paraId="24359FA7" w14:textId="67093D1C" w:rsidR="00591FB3" w:rsidRPr="00920036" w:rsidRDefault="004F345F" w:rsidP="009A464E">
      <w:pPr>
        <w:pStyle w:val="ListParagraph"/>
        <w:numPr>
          <w:ilvl w:val="0"/>
          <w:numId w:val="28"/>
        </w:numPr>
        <w:rPr>
          <w:rFonts w:ascii="Arial" w:hAnsi="Arial" w:cs="Arial"/>
          <w:sz w:val="24"/>
          <w:szCs w:val="24"/>
        </w:rPr>
      </w:pPr>
      <w:r>
        <w:rPr>
          <w:rFonts w:ascii="Arial" w:hAnsi="Arial" w:cs="Arial"/>
          <w:sz w:val="24"/>
          <w:szCs w:val="24"/>
        </w:rPr>
        <w:t>Four</w:t>
      </w:r>
      <w:r w:rsidR="00F37923" w:rsidRPr="00920036">
        <w:rPr>
          <w:rFonts w:ascii="Arial" w:hAnsi="Arial" w:cs="Arial"/>
          <w:sz w:val="24"/>
          <w:szCs w:val="24"/>
        </w:rPr>
        <w:t xml:space="preserve"> </w:t>
      </w:r>
      <w:r w:rsidR="00591FB3" w:rsidRPr="00920036">
        <w:rPr>
          <w:rFonts w:ascii="Arial" w:hAnsi="Arial" w:cs="Arial"/>
          <w:sz w:val="24"/>
          <w:szCs w:val="24"/>
        </w:rPr>
        <w:t xml:space="preserve">proposals </w:t>
      </w:r>
      <w:r w:rsidR="00474859" w:rsidRPr="00920036">
        <w:rPr>
          <w:rFonts w:ascii="Arial" w:hAnsi="Arial" w:cs="Arial"/>
          <w:sz w:val="24"/>
          <w:szCs w:val="24"/>
        </w:rPr>
        <w:t>(down from</w:t>
      </w:r>
      <w:r>
        <w:rPr>
          <w:rFonts w:ascii="Arial" w:hAnsi="Arial" w:cs="Arial"/>
          <w:sz w:val="24"/>
          <w:szCs w:val="24"/>
        </w:rPr>
        <w:t xml:space="preserve"> six in 2019/20 and</w:t>
      </w:r>
      <w:r w:rsidR="00474859" w:rsidRPr="00920036">
        <w:rPr>
          <w:rFonts w:ascii="Arial" w:hAnsi="Arial" w:cs="Arial"/>
          <w:sz w:val="24"/>
          <w:szCs w:val="24"/>
        </w:rPr>
        <w:t xml:space="preserve"> </w:t>
      </w:r>
      <w:r>
        <w:rPr>
          <w:rFonts w:ascii="Arial" w:hAnsi="Arial" w:cs="Arial"/>
          <w:sz w:val="24"/>
          <w:szCs w:val="24"/>
        </w:rPr>
        <w:t>eleven</w:t>
      </w:r>
      <w:r w:rsidR="00474859" w:rsidRPr="00920036">
        <w:rPr>
          <w:rFonts w:ascii="Arial" w:hAnsi="Arial" w:cs="Arial"/>
          <w:sz w:val="24"/>
          <w:szCs w:val="24"/>
        </w:rPr>
        <w:t xml:space="preserve"> in 2018/19) </w:t>
      </w:r>
      <w:r w:rsidR="00591FB3" w:rsidRPr="00920036">
        <w:rPr>
          <w:rFonts w:ascii="Arial" w:hAnsi="Arial" w:cs="Arial"/>
          <w:sz w:val="24"/>
          <w:szCs w:val="24"/>
        </w:rPr>
        <w:t>were considered, and all were approved.</w:t>
      </w:r>
    </w:p>
    <w:p w14:paraId="383A7D5F" w14:textId="150BBF5B" w:rsidR="00591FB3" w:rsidRPr="00920036" w:rsidRDefault="00591FB3" w:rsidP="009A464E">
      <w:pPr>
        <w:pStyle w:val="ListParagraph"/>
        <w:numPr>
          <w:ilvl w:val="0"/>
          <w:numId w:val="28"/>
        </w:numPr>
        <w:rPr>
          <w:rFonts w:ascii="Arial" w:hAnsi="Arial" w:cs="Arial"/>
          <w:sz w:val="24"/>
          <w:szCs w:val="24"/>
        </w:rPr>
      </w:pPr>
      <w:r w:rsidRPr="00920036">
        <w:rPr>
          <w:rFonts w:ascii="Arial" w:hAnsi="Arial" w:cs="Arial"/>
          <w:sz w:val="24"/>
          <w:szCs w:val="24"/>
        </w:rPr>
        <w:t xml:space="preserve">Articulation agreements and </w:t>
      </w:r>
      <w:r w:rsidR="00474859" w:rsidRPr="00920036">
        <w:rPr>
          <w:rFonts w:ascii="Arial" w:hAnsi="Arial" w:cs="Arial"/>
          <w:sz w:val="24"/>
          <w:szCs w:val="24"/>
        </w:rPr>
        <w:t>introduction of new modes</w:t>
      </w:r>
      <w:r w:rsidRPr="00920036">
        <w:rPr>
          <w:rFonts w:ascii="Arial" w:hAnsi="Arial" w:cs="Arial"/>
          <w:sz w:val="24"/>
          <w:szCs w:val="24"/>
        </w:rPr>
        <w:t xml:space="preserve"> approved</w:t>
      </w:r>
      <w:r w:rsidR="00474859" w:rsidRPr="00920036">
        <w:rPr>
          <w:rFonts w:ascii="Arial" w:hAnsi="Arial" w:cs="Arial"/>
          <w:sz w:val="24"/>
          <w:szCs w:val="24"/>
        </w:rPr>
        <w:t xml:space="preserve"> </w:t>
      </w:r>
      <w:r w:rsidRPr="00920036">
        <w:rPr>
          <w:rFonts w:ascii="Arial" w:hAnsi="Arial" w:cs="Arial"/>
          <w:sz w:val="24"/>
          <w:szCs w:val="24"/>
        </w:rPr>
        <w:t xml:space="preserve">at Stage 1 did not require a Stage </w:t>
      </w:r>
      <w:r w:rsidR="00F37923" w:rsidRPr="00920036">
        <w:rPr>
          <w:rFonts w:ascii="Arial" w:hAnsi="Arial" w:cs="Arial"/>
          <w:sz w:val="24"/>
          <w:szCs w:val="24"/>
        </w:rPr>
        <w:t>two</w:t>
      </w:r>
      <w:r w:rsidRPr="00920036">
        <w:rPr>
          <w:rFonts w:ascii="Arial" w:hAnsi="Arial" w:cs="Arial"/>
          <w:sz w:val="24"/>
          <w:szCs w:val="24"/>
        </w:rPr>
        <w:t xml:space="preserve"> review</w:t>
      </w:r>
      <w:r w:rsidR="0006286D" w:rsidRPr="00920036">
        <w:rPr>
          <w:rFonts w:ascii="Arial" w:hAnsi="Arial" w:cs="Arial"/>
          <w:sz w:val="24"/>
          <w:szCs w:val="24"/>
        </w:rPr>
        <w:t xml:space="preserve"> as there were no changes to programme content.</w:t>
      </w:r>
    </w:p>
    <w:p w14:paraId="1461FA4A" w14:textId="7BB337E8" w:rsidR="00474859" w:rsidRPr="00920036" w:rsidRDefault="004F345F" w:rsidP="009A464E">
      <w:pPr>
        <w:pStyle w:val="ListParagraph"/>
        <w:numPr>
          <w:ilvl w:val="0"/>
          <w:numId w:val="28"/>
        </w:numPr>
        <w:rPr>
          <w:rFonts w:ascii="Arial" w:hAnsi="Arial" w:cs="Arial"/>
          <w:sz w:val="24"/>
          <w:szCs w:val="24"/>
        </w:rPr>
      </w:pPr>
      <w:r>
        <w:rPr>
          <w:rFonts w:ascii="Arial" w:hAnsi="Arial" w:cs="Arial"/>
          <w:sz w:val="24"/>
          <w:szCs w:val="24"/>
        </w:rPr>
        <w:t>Six</w:t>
      </w:r>
      <w:r w:rsidR="00474859" w:rsidRPr="00920036">
        <w:rPr>
          <w:rFonts w:ascii="Arial" w:hAnsi="Arial" w:cs="Arial"/>
          <w:sz w:val="24"/>
          <w:szCs w:val="24"/>
        </w:rPr>
        <w:t xml:space="preserve"> programmes reviewed at Stage 1 </w:t>
      </w:r>
      <w:r w:rsidR="00F37923" w:rsidRPr="00920036">
        <w:rPr>
          <w:rFonts w:ascii="Arial" w:hAnsi="Arial" w:cs="Arial"/>
          <w:sz w:val="24"/>
          <w:szCs w:val="24"/>
        </w:rPr>
        <w:t>in 20</w:t>
      </w:r>
      <w:r>
        <w:rPr>
          <w:rFonts w:ascii="Arial" w:hAnsi="Arial" w:cs="Arial"/>
          <w:sz w:val="24"/>
          <w:szCs w:val="24"/>
        </w:rPr>
        <w:t>20</w:t>
      </w:r>
      <w:r w:rsidR="00F37923" w:rsidRPr="00920036">
        <w:rPr>
          <w:rFonts w:ascii="Arial" w:hAnsi="Arial" w:cs="Arial"/>
          <w:sz w:val="24"/>
          <w:szCs w:val="24"/>
        </w:rPr>
        <w:t>/2</w:t>
      </w:r>
      <w:r>
        <w:rPr>
          <w:rFonts w:ascii="Arial" w:hAnsi="Arial" w:cs="Arial"/>
          <w:sz w:val="24"/>
          <w:szCs w:val="24"/>
        </w:rPr>
        <w:t>1</w:t>
      </w:r>
      <w:r w:rsidR="00F37923" w:rsidRPr="00920036">
        <w:rPr>
          <w:rFonts w:ascii="Arial" w:hAnsi="Arial" w:cs="Arial"/>
          <w:sz w:val="24"/>
          <w:szCs w:val="24"/>
        </w:rPr>
        <w:t xml:space="preserve"> will be</w:t>
      </w:r>
      <w:r w:rsidR="00A62029" w:rsidRPr="00920036">
        <w:rPr>
          <w:rFonts w:ascii="Arial" w:hAnsi="Arial" w:cs="Arial"/>
          <w:sz w:val="24"/>
          <w:szCs w:val="24"/>
        </w:rPr>
        <w:t xml:space="preserve"> </w:t>
      </w:r>
      <w:r w:rsidR="00474859" w:rsidRPr="00920036">
        <w:rPr>
          <w:rFonts w:ascii="Arial" w:hAnsi="Arial" w:cs="Arial"/>
          <w:sz w:val="24"/>
          <w:szCs w:val="24"/>
        </w:rPr>
        <w:t xml:space="preserve">reviewed at Stage 2 </w:t>
      </w:r>
      <w:r w:rsidR="00F37923" w:rsidRPr="00920036">
        <w:rPr>
          <w:rFonts w:ascii="Arial" w:hAnsi="Arial" w:cs="Arial"/>
          <w:sz w:val="24"/>
          <w:szCs w:val="24"/>
        </w:rPr>
        <w:t>in 202</w:t>
      </w:r>
      <w:r>
        <w:rPr>
          <w:rFonts w:ascii="Arial" w:hAnsi="Arial" w:cs="Arial"/>
          <w:sz w:val="24"/>
          <w:szCs w:val="24"/>
        </w:rPr>
        <w:t>1</w:t>
      </w:r>
      <w:r w:rsidR="00F37923" w:rsidRPr="00920036">
        <w:rPr>
          <w:rFonts w:ascii="Arial" w:hAnsi="Arial" w:cs="Arial"/>
          <w:sz w:val="24"/>
          <w:szCs w:val="24"/>
        </w:rPr>
        <w:t>/2</w:t>
      </w:r>
      <w:r>
        <w:rPr>
          <w:rFonts w:ascii="Arial" w:hAnsi="Arial" w:cs="Arial"/>
          <w:sz w:val="24"/>
          <w:szCs w:val="24"/>
        </w:rPr>
        <w:t>2</w:t>
      </w:r>
      <w:r w:rsidR="00474859" w:rsidRPr="00920036">
        <w:rPr>
          <w:rFonts w:ascii="Arial" w:hAnsi="Arial" w:cs="Arial"/>
          <w:sz w:val="24"/>
          <w:szCs w:val="24"/>
        </w:rPr>
        <w:t>.</w:t>
      </w:r>
    </w:p>
    <w:p w14:paraId="5E6D9101" w14:textId="06D419DA" w:rsidR="006B1447" w:rsidRPr="00920036" w:rsidRDefault="004F345F" w:rsidP="009A464E">
      <w:pPr>
        <w:pStyle w:val="ListParagraph"/>
        <w:numPr>
          <w:ilvl w:val="0"/>
          <w:numId w:val="28"/>
        </w:numPr>
        <w:rPr>
          <w:rFonts w:ascii="Arial" w:hAnsi="Arial" w:cs="Arial"/>
          <w:sz w:val="24"/>
          <w:szCs w:val="24"/>
        </w:rPr>
      </w:pPr>
      <w:r>
        <w:rPr>
          <w:rFonts w:ascii="Arial" w:hAnsi="Arial" w:cs="Arial"/>
          <w:sz w:val="24"/>
          <w:szCs w:val="24"/>
        </w:rPr>
        <w:t>Three</w:t>
      </w:r>
      <w:r w:rsidR="006B1447" w:rsidRPr="00920036">
        <w:rPr>
          <w:rFonts w:ascii="Arial" w:hAnsi="Arial" w:cs="Arial"/>
          <w:sz w:val="24"/>
          <w:szCs w:val="24"/>
        </w:rPr>
        <w:t xml:space="preserve"> UPAC Stage 2 meeting took place</w:t>
      </w:r>
      <w:r>
        <w:rPr>
          <w:rFonts w:ascii="Arial" w:hAnsi="Arial" w:cs="Arial"/>
          <w:sz w:val="24"/>
          <w:szCs w:val="24"/>
        </w:rPr>
        <w:t xml:space="preserve"> in 2020/21</w:t>
      </w:r>
      <w:r w:rsidR="006B1447" w:rsidRPr="00920036">
        <w:rPr>
          <w:rFonts w:ascii="Arial" w:hAnsi="Arial" w:cs="Arial"/>
          <w:sz w:val="24"/>
          <w:szCs w:val="24"/>
        </w:rPr>
        <w:t>.</w:t>
      </w:r>
    </w:p>
    <w:p w14:paraId="363DE0FD" w14:textId="77777777" w:rsidR="009A464E" w:rsidRDefault="009A464E" w:rsidP="00EB203A">
      <w:pPr>
        <w:rPr>
          <w:rFonts w:ascii="Arial" w:hAnsi="Arial" w:cs="Arial"/>
          <w:b/>
          <w:sz w:val="24"/>
          <w:szCs w:val="24"/>
        </w:rPr>
      </w:pPr>
    </w:p>
    <w:p w14:paraId="4A0245E6" w14:textId="08761CDC" w:rsidR="00EB203A" w:rsidRPr="009A464E" w:rsidRDefault="00EB203A" w:rsidP="009A464E">
      <w:pPr>
        <w:pStyle w:val="ListParagraph"/>
        <w:numPr>
          <w:ilvl w:val="0"/>
          <w:numId w:val="25"/>
        </w:numPr>
        <w:rPr>
          <w:rFonts w:ascii="Arial" w:hAnsi="Arial" w:cs="Arial"/>
          <w:b/>
          <w:sz w:val="24"/>
          <w:szCs w:val="24"/>
        </w:rPr>
      </w:pPr>
      <w:r w:rsidRPr="009A464E">
        <w:rPr>
          <w:rFonts w:ascii="Arial" w:hAnsi="Arial" w:cs="Arial"/>
          <w:b/>
          <w:sz w:val="24"/>
          <w:szCs w:val="24"/>
        </w:rPr>
        <w:t>The</w:t>
      </w:r>
      <w:r w:rsidR="00FB344B" w:rsidRPr="009A464E">
        <w:rPr>
          <w:rFonts w:ascii="Arial" w:hAnsi="Arial" w:cs="Arial"/>
          <w:b/>
          <w:sz w:val="24"/>
          <w:szCs w:val="24"/>
        </w:rPr>
        <w:t>re were a number of</w:t>
      </w:r>
      <w:r w:rsidRPr="009A464E">
        <w:rPr>
          <w:rFonts w:ascii="Arial" w:hAnsi="Arial" w:cs="Arial"/>
          <w:b/>
          <w:sz w:val="24"/>
          <w:szCs w:val="24"/>
        </w:rPr>
        <w:t xml:space="preserve"> themes</w:t>
      </w:r>
      <w:r w:rsidR="000404FE" w:rsidRPr="009A464E">
        <w:rPr>
          <w:rFonts w:ascii="Arial" w:hAnsi="Arial" w:cs="Arial"/>
          <w:b/>
          <w:sz w:val="24"/>
          <w:szCs w:val="24"/>
        </w:rPr>
        <w:t>, collated from the</w:t>
      </w:r>
      <w:r w:rsidR="00086329" w:rsidRPr="009A464E">
        <w:rPr>
          <w:rFonts w:ascii="Arial" w:hAnsi="Arial" w:cs="Arial"/>
          <w:b/>
          <w:sz w:val="24"/>
          <w:szCs w:val="24"/>
        </w:rPr>
        <w:t xml:space="preserve"> outcomes</w:t>
      </w:r>
      <w:r w:rsidR="000404FE" w:rsidRPr="009A464E">
        <w:rPr>
          <w:rFonts w:ascii="Arial" w:hAnsi="Arial" w:cs="Arial"/>
          <w:b/>
          <w:sz w:val="24"/>
          <w:szCs w:val="24"/>
        </w:rPr>
        <w:t>,</w:t>
      </w:r>
      <w:r w:rsidRPr="009A464E">
        <w:rPr>
          <w:rFonts w:ascii="Arial" w:hAnsi="Arial" w:cs="Arial"/>
          <w:b/>
          <w:sz w:val="24"/>
          <w:szCs w:val="24"/>
        </w:rPr>
        <w:t xml:space="preserve"> evident in the conditions set at Stage 2,</w:t>
      </w:r>
      <w:r w:rsidR="00FB344B" w:rsidRPr="009A464E">
        <w:rPr>
          <w:rFonts w:ascii="Arial" w:hAnsi="Arial" w:cs="Arial"/>
          <w:b/>
          <w:sz w:val="24"/>
          <w:szCs w:val="24"/>
        </w:rPr>
        <w:t xml:space="preserve"> too</w:t>
      </w:r>
      <w:r w:rsidRPr="009A464E">
        <w:rPr>
          <w:rFonts w:ascii="Arial" w:hAnsi="Arial" w:cs="Arial"/>
          <w:b/>
          <w:sz w:val="24"/>
          <w:szCs w:val="24"/>
        </w:rPr>
        <w:t>:</w:t>
      </w:r>
    </w:p>
    <w:p w14:paraId="54405967" w14:textId="77777777" w:rsidR="00FB344B" w:rsidRPr="00920036" w:rsidRDefault="00C56A1A" w:rsidP="009A464E">
      <w:pPr>
        <w:pStyle w:val="ListParagraph"/>
        <w:numPr>
          <w:ilvl w:val="0"/>
          <w:numId w:val="29"/>
        </w:numPr>
        <w:rPr>
          <w:rFonts w:ascii="Arial" w:hAnsi="Arial" w:cs="Arial"/>
          <w:sz w:val="24"/>
          <w:szCs w:val="24"/>
        </w:rPr>
      </w:pPr>
      <w:r w:rsidRPr="00920036">
        <w:rPr>
          <w:rFonts w:ascii="Arial" w:hAnsi="Arial" w:cs="Arial"/>
          <w:sz w:val="24"/>
          <w:szCs w:val="24"/>
        </w:rPr>
        <w:t>The majority of teams were encouraged to undertake further w</w:t>
      </w:r>
      <w:r w:rsidR="00FB344B" w:rsidRPr="00920036">
        <w:rPr>
          <w:rFonts w:ascii="Arial" w:hAnsi="Arial" w:cs="Arial"/>
          <w:sz w:val="24"/>
          <w:szCs w:val="24"/>
        </w:rPr>
        <w:t>ork with LEaD</w:t>
      </w:r>
      <w:r w:rsidRPr="00920036">
        <w:rPr>
          <w:rFonts w:ascii="Arial" w:hAnsi="Arial" w:cs="Arial"/>
          <w:sz w:val="24"/>
          <w:szCs w:val="24"/>
        </w:rPr>
        <w:t xml:space="preserve"> as part of the conditions issued. The majority of conditions were encompassed by the following:</w:t>
      </w:r>
    </w:p>
    <w:p w14:paraId="4A566F44" w14:textId="76BA4ABE" w:rsidR="00092CBF" w:rsidRPr="00920036" w:rsidRDefault="00092CBF" w:rsidP="009A464E">
      <w:pPr>
        <w:pStyle w:val="ListParagraph"/>
        <w:numPr>
          <w:ilvl w:val="1"/>
          <w:numId w:val="29"/>
        </w:numPr>
        <w:rPr>
          <w:rFonts w:ascii="Arial" w:hAnsi="Arial" w:cs="Arial"/>
          <w:sz w:val="24"/>
          <w:szCs w:val="24"/>
        </w:rPr>
      </w:pPr>
      <w:r w:rsidRPr="00920036">
        <w:rPr>
          <w:rFonts w:ascii="Arial" w:hAnsi="Arial" w:cs="Arial"/>
          <w:sz w:val="24"/>
          <w:szCs w:val="24"/>
        </w:rPr>
        <w:lastRenderedPageBreak/>
        <w:t>Submitted programme documentation to LEaD as soon as possible to ensure any improvements needed are identified prior to Stage 2</w:t>
      </w:r>
    </w:p>
    <w:p w14:paraId="43B29DE2" w14:textId="653556F9" w:rsidR="00FB344B" w:rsidRPr="00920036" w:rsidRDefault="00FB344B" w:rsidP="009A464E">
      <w:pPr>
        <w:pStyle w:val="ListParagraph"/>
        <w:numPr>
          <w:ilvl w:val="1"/>
          <w:numId w:val="29"/>
        </w:numPr>
        <w:rPr>
          <w:rFonts w:ascii="Arial" w:hAnsi="Arial" w:cs="Arial"/>
          <w:sz w:val="24"/>
          <w:szCs w:val="24"/>
        </w:rPr>
      </w:pPr>
      <w:r w:rsidRPr="00920036">
        <w:rPr>
          <w:rFonts w:ascii="Arial" w:hAnsi="Arial" w:cs="Arial"/>
          <w:sz w:val="24"/>
          <w:szCs w:val="24"/>
        </w:rPr>
        <w:t>Better alignment</w:t>
      </w:r>
      <w:r w:rsidR="00C56A1A" w:rsidRPr="00920036">
        <w:rPr>
          <w:rFonts w:ascii="Arial" w:hAnsi="Arial" w:cs="Arial"/>
          <w:sz w:val="24"/>
          <w:szCs w:val="24"/>
        </w:rPr>
        <w:t xml:space="preserve"> between the Learning Outcomes in both the programme and module specifications with the FHEQ statements</w:t>
      </w:r>
    </w:p>
    <w:p w14:paraId="365FBC4C" w14:textId="77777777" w:rsidR="00C56A1A" w:rsidRPr="00920036" w:rsidRDefault="00C56A1A" w:rsidP="009A464E">
      <w:pPr>
        <w:pStyle w:val="ListParagraph"/>
        <w:numPr>
          <w:ilvl w:val="1"/>
          <w:numId w:val="29"/>
        </w:numPr>
        <w:rPr>
          <w:rFonts w:ascii="Arial" w:hAnsi="Arial" w:cs="Arial"/>
          <w:sz w:val="24"/>
          <w:szCs w:val="24"/>
        </w:rPr>
      </w:pPr>
      <w:r w:rsidRPr="00920036">
        <w:rPr>
          <w:rFonts w:ascii="Arial" w:hAnsi="Arial" w:cs="Arial"/>
          <w:sz w:val="24"/>
          <w:szCs w:val="24"/>
        </w:rPr>
        <w:t>A greater degree of consistency between the Learning Outcomes in the programme and module specifications was required</w:t>
      </w:r>
    </w:p>
    <w:p w14:paraId="11C7773E" w14:textId="1DD7C802" w:rsidR="00C56A1A" w:rsidRPr="00920036" w:rsidRDefault="00C56A1A" w:rsidP="009A464E">
      <w:pPr>
        <w:pStyle w:val="ListParagraph"/>
        <w:numPr>
          <w:ilvl w:val="1"/>
          <w:numId w:val="29"/>
        </w:numPr>
        <w:rPr>
          <w:rFonts w:ascii="Arial" w:hAnsi="Arial" w:cs="Arial"/>
          <w:sz w:val="24"/>
          <w:szCs w:val="24"/>
        </w:rPr>
      </w:pPr>
      <w:r w:rsidRPr="00920036">
        <w:rPr>
          <w:rFonts w:ascii="Arial" w:hAnsi="Arial" w:cs="Arial"/>
          <w:sz w:val="24"/>
          <w:szCs w:val="24"/>
        </w:rPr>
        <w:t xml:space="preserve">Greater </w:t>
      </w:r>
      <w:r w:rsidR="00903D9A" w:rsidRPr="00920036">
        <w:rPr>
          <w:rFonts w:ascii="Arial" w:hAnsi="Arial" w:cs="Arial"/>
          <w:sz w:val="24"/>
          <w:szCs w:val="24"/>
        </w:rPr>
        <w:t xml:space="preserve">detail </w:t>
      </w:r>
      <w:r w:rsidRPr="00920036">
        <w:rPr>
          <w:rFonts w:ascii="Arial" w:hAnsi="Arial" w:cs="Arial"/>
          <w:sz w:val="24"/>
          <w:szCs w:val="24"/>
        </w:rPr>
        <w:t>in the information for students around assessments</w:t>
      </w:r>
    </w:p>
    <w:p w14:paraId="2C3651E0" w14:textId="77270BD6" w:rsidR="00C56A1A" w:rsidRPr="00920036" w:rsidRDefault="00A52B3E" w:rsidP="009A464E">
      <w:pPr>
        <w:pStyle w:val="ListParagraph"/>
        <w:numPr>
          <w:ilvl w:val="0"/>
          <w:numId w:val="29"/>
        </w:numPr>
        <w:rPr>
          <w:rFonts w:ascii="Arial" w:hAnsi="Arial" w:cs="Arial"/>
          <w:sz w:val="24"/>
          <w:szCs w:val="24"/>
        </w:rPr>
      </w:pPr>
      <w:r w:rsidRPr="00920036">
        <w:rPr>
          <w:rFonts w:ascii="Arial" w:hAnsi="Arial" w:cs="Arial"/>
          <w:sz w:val="24"/>
          <w:szCs w:val="24"/>
        </w:rPr>
        <w:t>I</w:t>
      </w:r>
      <w:r w:rsidR="00C56A1A" w:rsidRPr="00920036">
        <w:rPr>
          <w:rFonts w:ascii="Arial" w:hAnsi="Arial" w:cs="Arial"/>
          <w:sz w:val="24"/>
          <w:szCs w:val="24"/>
        </w:rPr>
        <w:t xml:space="preserve">nformation regarding assessments was </w:t>
      </w:r>
      <w:r w:rsidRPr="00920036">
        <w:rPr>
          <w:rFonts w:ascii="Arial" w:hAnsi="Arial" w:cs="Arial"/>
          <w:sz w:val="24"/>
          <w:szCs w:val="24"/>
        </w:rPr>
        <w:t xml:space="preserve">often </w:t>
      </w:r>
      <w:r w:rsidR="00C56A1A" w:rsidRPr="00920036">
        <w:rPr>
          <w:rFonts w:ascii="Arial" w:hAnsi="Arial" w:cs="Arial"/>
          <w:sz w:val="24"/>
          <w:szCs w:val="24"/>
        </w:rPr>
        <w:t xml:space="preserve">incomplete or </w:t>
      </w:r>
      <w:r w:rsidR="00086329" w:rsidRPr="00920036">
        <w:rPr>
          <w:rFonts w:ascii="Arial" w:hAnsi="Arial" w:cs="Arial"/>
          <w:sz w:val="24"/>
          <w:szCs w:val="24"/>
        </w:rPr>
        <w:t>required further detail</w:t>
      </w:r>
      <w:r w:rsidR="00C56A1A" w:rsidRPr="00920036">
        <w:rPr>
          <w:rFonts w:ascii="Arial" w:hAnsi="Arial" w:cs="Arial"/>
          <w:sz w:val="24"/>
          <w:szCs w:val="24"/>
        </w:rPr>
        <w:t>, particularly in relation to cohesion</w:t>
      </w:r>
      <w:r w:rsidR="00667FC1" w:rsidRPr="00920036">
        <w:rPr>
          <w:rFonts w:ascii="Arial" w:hAnsi="Arial" w:cs="Arial"/>
          <w:sz w:val="24"/>
          <w:szCs w:val="24"/>
        </w:rPr>
        <w:t>, word length/duration</w:t>
      </w:r>
      <w:r w:rsidR="00C56A1A" w:rsidRPr="00920036">
        <w:rPr>
          <w:rFonts w:ascii="Arial" w:hAnsi="Arial" w:cs="Arial"/>
          <w:sz w:val="24"/>
          <w:szCs w:val="24"/>
        </w:rPr>
        <w:t xml:space="preserve"> and the assessment strategy for proposed programmes. </w:t>
      </w:r>
    </w:p>
    <w:p w14:paraId="0E4E1CE1" w14:textId="6CB39797" w:rsidR="00E46513" w:rsidRDefault="00420727" w:rsidP="009A464E">
      <w:pPr>
        <w:pStyle w:val="ListParagraph"/>
        <w:numPr>
          <w:ilvl w:val="0"/>
          <w:numId w:val="29"/>
        </w:numPr>
        <w:rPr>
          <w:rFonts w:ascii="Arial" w:hAnsi="Arial" w:cs="Arial"/>
          <w:sz w:val="24"/>
          <w:szCs w:val="24"/>
        </w:rPr>
      </w:pPr>
      <w:r w:rsidRPr="00920036">
        <w:rPr>
          <w:rFonts w:ascii="Arial" w:hAnsi="Arial" w:cs="Arial"/>
          <w:sz w:val="24"/>
          <w:szCs w:val="24"/>
        </w:rPr>
        <w:t>Programme Teams are reminded that all modules included in a programme, even those which are already approved elsewhere, should be included with each submission.</w:t>
      </w:r>
      <w:r w:rsidR="00CF661D" w:rsidRPr="00920036">
        <w:rPr>
          <w:rFonts w:ascii="Arial" w:hAnsi="Arial" w:cs="Arial"/>
          <w:sz w:val="24"/>
          <w:szCs w:val="24"/>
        </w:rPr>
        <w:t xml:space="preserve"> ‘Old’ modules should also be updated when submitting to UPAC as part of a new programme.</w:t>
      </w:r>
      <w:r w:rsidRPr="00920036">
        <w:rPr>
          <w:rFonts w:ascii="Arial" w:hAnsi="Arial" w:cs="Arial"/>
          <w:sz w:val="24"/>
          <w:szCs w:val="24"/>
        </w:rPr>
        <w:t xml:space="preserve"> Where this is unrealistic, submissions should be discussed with Student and Academic Services.</w:t>
      </w:r>
      <w:r w:rsidR="00092CBF" w:rsidRPr="00920036">
        <w:rPr>
          <w:rFonts w:ascii="Arial" w:hAnsi="Arial" w:cs="Arial"/>
          <w:sz w:val="24"/>
          <w:szCs w:val="24"/>
        </w:rPr>
        <w:t xml:space="preserve"> All modules should include information on </w:t>
      </w:r>
      <w:proofErr w:type="spellStart"/>
      <w:r w:rsidR="00092CBF" w:rsidRPr="00920036">
        <w:rPr>
          <w:rFonts w:ascii="Arial" w:hAnsi="Arial" w:cs="Arial"/>
          <w:sz w:val="24"/>
          <w:szCs w:val="24"/>
        </w:rPr>
        <w:t>HECoS</w:t>
      </w:r>
      <w:proofErr w:type="spellEnd"/>
      <w:r w:rsidR="00092CBF" w:rsidRPr="00920036">
        <w:rPr>
          <w:rFonts w:ascii="Arial" w:hAnsi="Arial" w:cs="Arial"/>
          <w:sz w:val="24"/>
          <w:szCs w:val="24"/>
        </w:rPr>
        <w:t xml:space="preserve"> and HESA codes.</w:t>
      </w:r>
    </w:p>
    <w:p w14:paraId="40CB7025" w14:textId="77777777" w:rsidR="009A464E" w:rsidRPr="00920036" w:rsidRDefault="009A464E" w:rsidP="009A464E">
      <w:pPr>
        <w:pStyle w:val="ListParagraph"/>
        <w:rPr>
          <w:rFonts w:ascii="Arial" w:hAnsi="Arial" w:cs="Arial"/>
          <w:sz w:val="24"/>
          <w:szCs w:val="24"/>
        </w:rPr>
      </w:pPr>
    </w:p>
    <w:p w14:paraId="259319E1" w14:textId="73ACFFE8" w:rsidR="004018A4" w:rsidRPr="009A464E" w:rsidRDefault="0022351E" w:rsidP="009A464E">
      <w:pPr>
        <w:pStyle w:val="ListParagraph"/>
        <w:numPr>
          <w:ilvl w:val="0"/>
          <w:numId w:val="25"/>
        </w:numPr>
        <w:rPr>
          <w:rFonts w:ascii="Arial" w:hAnsi="Arial" w:cs="Arial"/>
          <w:b/>
          <w:sz w:val="24"/>
          <w:szCs w:val="24"/>
        </w:rPr>
      </w:pPr>
      <w:r w:rsidRPr="009A464E">
        <w:rPr>
          <w:rFonts w:ascii="Arial" w:hAnsi="Arial" w:cs="Arial"/>
          <w:b/>
          <w:sz w:val="24"/>
          <w:szCs w:val="24"/>
        </w:rPr>
        <w:t xml:space="preserve">Stage 2 </w:t>
      </w:r>
      <w:r w:rsidR="00EB203A" w:rsidRPr="009A464E">
        <w:rPr>
          <w:rFonts w:ascii="Arial" w:hAnsi="Arial" w:cs="Arial"/>
          <w:b/>
          <w:sz w:val="24"/>
          <w:szCs w:val="24"/>
        </w:rPr>
        <w:t>Commendations</w:t>
      </w:r>
    </w:p>
    <w:p w14:paraId="175485B0" w14:textId="77777777" w:rsidR="004018A4" w:rsidRPr="00920036" w:rsidRDefault="00EB203A">
      <w:pPr>
        <w:rPr>
          <w:rFonts w:ascii="Arial" w:hAnsi="Arial" w:cs="Arial"/>
          <w:sz w:val="24"/>
          <w:szCs w:val="24"/>
        </w:rPr>
      </w:pPr>
      <w:r w:rsidRPr="00920036">
        <w:rPr>
          <w:rFonts w:ascii="Arial" w:hAnsi="Arial" w:cs="Arial"/>
          <w:sz w:val="24"/>
          <w:szCs w:val="24"/>
        </w:rPr>
        <w:t>At Stage 2 UPAC offered a number of c</w:t>
      </w:r>
      <w:r w:rsidR="000404FE" w:rsidRPr="00920036">
        <w:rPr>
          <w:rFonts w:ascii="Arial" w:hAnsi="Arial" w:cs="Arial"/>
          <w:sz w:val="24"/>
          <w:szCs w:val="24"/>
        </w:rPr>
        <w:t>ommendations on proposals. The most frequent</w:t>
      </w:r>
      <w:r w:rsidRPr="00920036">
        <w:rPr>
          <w:rFonts w:ascii="Arial" w:hAnsi="Arial" w:cs="Arial"/>
          <w:sz w:val="24"/>
          <w:szCs w:val="24"/>
        </w:rPr>
        <w:t xml:space="preserve"> included: </w:t>
      </w:r>
    </w:p>
    <w:p w14:paraId="22683E98" w14:textId="362F71B8" w:rsidR="00591FB3" w:rsidRPr="00920036" w:rsidRDefault="00C5680F" w:rsidP="002C31B1">
      <w:pPr>
        <w:pStyle w:val="ListParagraph"/>
        <w:numPr>
          <w:ilvl w:val="0"/>
          <w:numId w:val="1"/>
        </w:numPr>
        <w:rPr>
          <w:rFonts w:ascii="Arial" w:hAnsi="Arial" w:cs="Arial"/>
          <w:sz w:val="24"/>
          <w:szCs w:val="24"/>
        </w:rPr>
      </w:pPr>
      <w:r w:rsidRPr="00920036">
        <w:rPr>
          <w:rFonts w:ascii="Arial" w:hAnsi="Arial" w:cs="Arial"/>
          <w:sz w:val="24"/>
          <w:szCs w:val="24"/>
        </w:rPr>
        <w:t>The amount of work und</w:t>
      </w:r>
      <w:r w:rsidR="00624A14" w:rsidRPr="00920036">
        <w:rPr>
          <w:rFonts w:ascii="Arial" w:hAnsi="Arial" w:cs="Arial"/>
          <w:sz w:val="24"/>
          <w:szCs w:val="24"/>
        </w:rPr>
        <w:t>ertaken by the Teams involved in developing and submitting</w:t>
      </w:r>
      <w:r w:rsidRPr="00920036">
        <w:rPr>
          <w:rFonts w:ascii="Arial" w:hAnsi="Arial" w:cs="Arial"/>
          <w:sz w:val="24"/>
          <w:szCs w:val="24"/>
        </w:rPr>
        <w:t xml:space="preserve"> proposals</w:t>
      </w:r>
      <w:r w:rsidR="00667FC1" w:rsidRPr="00920036">
        <w:rPr>
          <w:rFonts w:ascii="Arial" w:hAnsi="Arial" w:cs="Arial"/>
          <w:sz w:val="24"/>
          <w:szCs w:val="24"/>
        </w:rPr>
        <w:t xml:space="preserve"> since Stage 1.</w:t>
      </w:r>
    </w:p>
    <w:p w14:paraId="14361B26" w14:textId="77777777" w:rsidR="00591FB3" w:rsidRPr="00920036" w:rsidRDefault="00591FB3" w:rsidP="002C31B1">
      <w:pPr>
        <w:pStyle w:val="ListParagraph"/>
        <w:numPr>
          <w:ilvl w:val="0"/>
          <w:numId w:val="1"/>
        </w:numPr>
        <w:rPr>
          <w:rFonts w:ascii="Arial" w:hAnsi="Arial" w:cs="Arial"/>
          <w:sz w:val="24"/>
          <w:szCs w:val="24"/>
        </w:rPr>
      </w:pPr>
      <w:r w:rsidRPr="00920036">
        <w:rPr>
          <w:rFonts w:ascii="Arial" w:hAnsi="Arial" w:cs="Arial"/>
          <w:sz w:val="24"/>
          <w:szCs w:val="24"/>
        </w:rPr>
        <w:t>The quality and clarity of the documentation in a substantial number of proposals.</w:t>
      </w:r>
    </w:p>
    <w:p w14:paraId="20A4860A" w14:textId="295EC8E5" w:rsidR="00591FB3" w:rsidRPr="00920036" w:rsidRDefault="00591FB3" w:rsidP="002C31B1">
      <w:pPr>
        <w:pStyle w:val="ListParagraph"/>
        <w:numPr>
          <w:ilvl w:val="0"/>
          <w:numId w:val="1"/>
        </w:numPr>
        <w:rPr>
          <w:rFonts w:ascii="Arial" w:hAnsi="Arial" w:cs="Arial"/>
          <w:sz w:val="24"/>
          <w:szCs w:val="24"/>
        </w:rPr>
      </w:pPr>
      <w:r w:rsidRPr="00920036">
        <w:rPr>
          <w:rFonts w:ascii="Arial" w:hAnsi="Arial" w:cs="Arial"/>
          <w:sz w:val="24"/>
          <w:szCs w:val="24"/>
        </w:rPr>
        <w:t>The commitment and dedication of the Programme Teams.</w:t>
      </w:r>
    </w:p>
    <w:p w14:paraId="24337E35" w14:textId="579A11AF" w:rsidR="00B4726C" w:rsidRDefault="00B4726C" w:rsidP="00B4726C">
      <w:pPr>
        <w:pStyle w:val="ListParagraph"/>
        <w:ind w:left="644"/>
        <w:rPr>
          <w:rFonts w:ascii="Arial" w:hAnsi="Arial" w:cs="Arial"/>
          <w:sz w:val="24"/>
          <w:szCs w:val="24"/>
        </w:rPr>
      </w:pPr>
    </w:p>
    <w:p w14:paraId="4CA54309" w14:textId="77777777" w:rsidR="009A464E" w:rsidRPr="00920036" w:rsidRDefault="009A464E" w:rsidP="00B4726C">
      <w:pPr>
        <w:pStyle w:val="ListParagraph"/>
        <w:ind w:left="644"/>
        <w:rPr>
          <w:rFonts w:ascii="Arial" w:hAnsi="Arial" w:cs="Arial"/>
          <w:sz w:val="24"/>
          <w:szCs w:val="24"/>
        </w:rPr>
      </w:pPr>
    </w:p>
    <w:p w14:paraId="088B3713" w14:textId="72309038" w:rsidR="0022351E" w:rsidRPr="00920036" w:rsidRDefault="0022351E" w:rsidP="00B4726C">
      <w:pPr>
        <w:pStyle w:val="ListParagraph"/>
        <w:numPr>
          <w:ilvl w:val="0"/>
          <w:numId w:val="20"/>
        </w:numPr>
        <w:rPr>
          <w:rFonts w:ascii="Arial" w:hAnsi="Arial" w:cs="Arial"/>
          <w:b/>
          <w:sz w:val="24"/>
          <w:szCs w:val="24"/>
        </w:rPr>
      </w:pPr>
      <w:r w:rsidRPr="00920036">
        <w:rPr>
          <w:rFonts w:ascii="Arial" w:hAnsi="Arial" w:cs="Arial"/>
          <w:b/>
          <w:sz w:val="24"/>
          <w:szCs w:val="24"/>
        </w:rPr>
        <w:t xml:space="preserve">University Programme Approval Committee – </w:t>
      </w:r>
      <w:r w:rsidR="00B4726C" w:rsidRPr="00920036">
        <w:rPr>
          <w:rFonts w:ascii="Arial" w:hAnsi="Arial" w:cs="Arial"/>
          <w:b/>
          <w:sz w:val="24"/>
          <w:szCs w:val="24"/>
        </w:rPr>
        <w:t>M</w:t>
      </w:r>
      <w:r w:rsidRPr="00920036">
        <w:rPr>
          <w:rFonts w:ascii="Arial" w:hAnsi="Arial" w:cs="Arial"/>
          <w:b/>
          <w:sz w:val="24"/>
          <w:szCs w:val="24"/>
        </w:rPr>
        <w:t xml:space="preserve">ajor </w:t>
      </w:r>
      <w:r w:rsidR="00B4726C" w:rsidRPr="00920036">
        <w:rPr>
          <w:rFonts w:ascii="Arial" w:hAnsi="Arial" w:cs="Arial"/>
          <w:b/>
          <w:sz w:val="24"/>
          <w:szCs w:val="24"/>
        </w:rPr>
        <w:t>A</w:t>
      </w:r>
      <w:r w:rsidRPr="00920036">
        <w:rPr>
          <w:rFonts w:ascii="Arial" w:hAnsi="Arial" w:cs="Arial"/>
          <w:b/>
          <w:sz w:val="24"/>
          <w:szCs w:val="24"/>
        </w:rPr>
        <w:t xml:space="preserve">mendments </w:t>
      </w:r>
    </w:p>
    <w:p w14:paraId="01C54550" w14:textId="791ECC4B" w:rsidR="007B3A18" w:rsidRPr="00920036" w:rsidRDefault="008500E7" w:rsidP="0022351E">
      <w:pPr>
        <w:rPr>
          <w:rFonts w:ascii="Arial" w:hAnsi="Arial" w:cs="Arial"/>
          <w:sz w:val="24"/>
          <w:szCs w:val="24"/>
        </w:rPr>
      </w:pPr>
      <w:r>
        <w:rPr>
          <w:rFonts w:ascii="Arial" w:hAnsi="Arial" w:cs="Arial"/>
          <w:sz w:val="24"/>
          <w:szCs w:val="24"/>
        </w:rPr>
        <w:t xml:space="preserve">The </w:t>
      </w:r>
      <w:hyperlink r:id="rId14" w:history="1">
        <w:r w:rsidRPr="008500E7">
          <w:rPr>
            <w:rStyle w:val="Hyperlink"/>
            <w:rFonts w:ascii="Arial" w:hAnsi="Arial" w:cs="Arial"/>
            <w:sz w:val="24"/>
            <w:szCs w:val="24"/>
          </w:rPr>
          <w:t>Programme Amendment Guidance</w:t>
        </w:r>
      </w:hyperlink>
      <w:r>
        <w:rPr>
          <w:rFonts w:ascii="Arial" w:hAnsi="Arial" w:cs="Arial"/>
          <w:sz w:val="24"/>
          <w:szCs w:val="24"/>
        </w:rPr>
        <w:t xml:space="preserve"> defines a major amendment (as opposed to minor or editorial) as ‘those </w:t>
      </w:r>
      <w:r w:rsidRPr="008500E7">
        <w:rPr>
          <w:rFonts w:ascii="Arial" w:hAnsi="Arial" w:cs="Arial"/>
          <w:sz w:val="24"/>
          <w:szCs w:val="24"/>
        </w:rPr>
        <w:t>that change the learning outcomes or nature of a large part of an entire programme</w:t>
      </w:r>
      <w:r>
        <w:rPr>
          <w:rFonts w:ascii="Arial" w:hAnsi="Arial" w:cs="Arial"/>
          <w:sz w:val="24"/>
          <w:szCs w:val="24"/>
        </w:rPr>
        <w:t>’ and the following were received in 2020/21.</w:t>
      </w:r>
    </w:p>
    <w:p w14:paraId="132DFB33" w14:textId="3A2BF224" w:rsidR="0022351E" w:rsidRPr="00920036" w:rsidRDefault="008500E7" w:rsidP="002C31B1">
      <w:pPr>
        <w:pStyle w:val="ListParagraph"/>
        <w:numPr>
          <w:ilvl w:val="0"/>
          <w:numId w:val="11"/>
        </w:numPr>
        <w:rPr>
          <w:rFonts w:ascii="Arial" w:hAnsi="Arial" w:cs="Arial"/>
          <w:b/>
          <w:sz w:val="24"/>
          <w:szCs w:val="24"/>
        </w:rPr>
      </w:pPr>
      <w:r w:rsidRPr="008500E7">
        <w:rPr>
          <w:rFonts w:ascii="Arial" w:hAnsi="Arial" w:cs="Arial"/>
          <w:b/>
          <w:sz w:val="24"/>
          <w:szCs w:val="24"/>
        </w:rPr>
        <w:t>Major amendments reviewed by UPAC 20</w:t>
      </w:r>
      <w:r>
        <w:rPr>
          <w:rFonts w:ascii="Arial" w:hAnsi="Arial" w:cs="Arial"/>
          <w:b/>
          <w:sz w:val="24"/>
          <w:szCs w:val="24"/>
        </w:rPr>
        <w:t>20</w:t>
      </w:r>
      <w:r w:rsidRPr="008500E7">
        <w:rPr>
          <w:rFonts w:ascii="Arial" w:hAnsi="Arial" w:cs="Arial"/>
          <w:b/>
          <w:sz w:val="24"/>
          <w:szCs w:val="24"/>
        </w:rPr>
        <w:t>/2</w:t>
      </w:r>
      <w:r>
        <w:rPr>
          <w:rFonts w:ascii="Arial" w:hAnsi="Arial" w:cs="Arial"/>
          <w:b/>
          <w:sz w:val="24"/>
          <w:szCs w:val="24"/>
        </w:rPr>
        <w:t>1</w:t>
      </w:r>
    </w:p>
    <w:p w14:paraId="3DB474BA" w14:textId="5F848A7C" w:rsidR="008A0CEB" w:rsidRPr="00920036" w:rsidRDefault="008A0CEB" w:rsidP="008500E7">
      <w:pPr>
        <w:pStyle w:val="ListParagraph"/>
        <w:ind w:left="1080"/>
        <w:rPr>
          <w:rFonts w:ascii="Arial" w:hAnsi="Arial" w:cs="Arial"/>
          <w:b/>
          <w:sz w:val="24"/>
          <w:szCs w:val="24"/>
        </w:rPr>
      </w:pPr>
    </w:p>
    <w:tbl>
      <w:tblPr>
        <w:tblStyle w:val="TableGrid"/>
        <w:tblW w:w="9988" w:type="dxa"/>
        <w:tblLook w:val="04A0" w:firstRow="1" w:lastRow="0" w:firstColumn="1" w:lastColumn="0" w:noHBand="0" w:noVBand="1"/>
      </w:tblPr>
      <w:tblGrid>
        <w:gridCol w:w="2070"/>
        <w:gridCol w:w="7918"/>
      </w:tblGrid>
      <w:tr w:rsidR="008A0CEB" w:rsidRPr="00920036" w14:paraId="7B69F505" w14:textId="77777777" w:rsidTr="008500E7">
        <w:trPr>
          <w:trHeight w:val="250"/>
        </w:trPr>
        <w:tc>
          <w:tcPr>
            <w:tcW w:w="2070" w:type="dxa"/>
            <w:shd w:val="clear" w:color="auto" w:fill="BFBFBF" w:themeFill="background1" w:themeFillShade="BF"/>
          </w:tcPr>
          <w:p w14:paraId="4EEEC7AE" w14:textId="77777777" w:rsidR="008A0CEB" w:rsidRPr="00920036" w:rsidRDefault="008A0CEB" w:rsidP="008500E7">
            <w:pPr>
              <w:rPr>
                <w:rFonts w:ascii="Arial" w:hAnsi="Arial" w:cs="Arial"/>
                <w:sz w:val="24"/>
                <w:szCs w:val="24"/>
              </w:rPr>
            </w:pPr>
            <w:r w:rsidRPr="00920036">
              <w:rPr>
                <w:rFonts w:ascii="Arial" w:hAnsi="Arial" w:cs="Arial"/>
                <w:sz w:val="24"/>
                <w:szCs w:val="24"/>
              </w:rPr>
              <w:t>School</w:t>
            </w:r>
          </w:p>
        </w:tc>
        <w:tc>
          <w:tcPr>
            <w:tcW w:w="7918" w:type="dxa"/>
            <w:shd w:val="clear" w:color="auto" w:fill="BFBFBF" w:themeFill="background1" w:themeFillShade="BF"/>
          </w:tcPr>
          <w:p w14:paraId="396F3C52" w14:textId="77777777" w:rsidR="008A0CEB" w:rsidRPr="00920036" w:rsidRDefault="008A0CEB" w:rsidP="008500E7">
            <w:pPr>
              <w:rPr>
                <w:rFonts w:ascii="Arial" w:hAnsi="Arial" w:cs="Arial"/>
                <w:sz w:val="24"/>
                <w:szCs w:val="24"/>
              </w:rPr>
            </w:pPr>
            <w:r w:rsidRPr="00920036">
              <w:rPr>
                <w:rFonts w:ascii="Arial" w:hAnsi="Arial" w:cs="Arial"/>
                <w:sz w:val="24"/>
                <w:szCs w:val="24"/>
              </w:rPr>
              <w:t>Title of amended programme(s)</w:t>
            </w:r>
          </w:p>
        </w:tc>
      </w:tr>
      <w:tr w:rsidR="00CE7013" w:rsidRPr="00920036" w14:paraId="7DA40015" w14:textId="77777777" w:rsidTr="008500E7">
        <w:trPr>
          <w:trHeight w:val="234"/>
        </w:trPr>
        <w:tc>
          <w:tcPr>
            <w:tcW w:w="2070" w:type="dxa"/>
            <w:vMerge w:val="restart"/>
          </w:tcPr>
          <w:p w14:paraId="7C91824F" w14:textId="77777777" w:rsidR="00CE7013" w:rsidRPr="00920036" w:rsidRDefault="00CE7013" w:rsidP="008500E7">
            <w:pPr>
              <w:rPr>
                <w:rFonts w:ascii="Arial" w:hAnsi="Arial" w:cs="Arial"/>
                <w:sz w:val="24"/>
                <w:szCs w:val="24"/>
              </w:rPr>
            </w:pPr>
            <w:r w:rsidRPr="00920036">
              <w:rPr>
                <w:rFonts w:ascii="Arial" w:hAnsi="Arial" w:cs="Arial"/>
                <w:sz w:val="24"/>
                <w:szCs w:val="24"/>
              </w:rPr>
              <w:t>Business School</w:t>
            </w:r>
          </w:p>
          <w:p w14:paraId="7540FDF1" w14:textId="77777777" w:rsidR="00CE7013" w:rsidRPr="00920036" w:rsidRDefault="00CE7013" w:rsidP="008500E7">
            <w:pPr>
              <w:rPr>
                <w:rFonts w:ascii="Arial" w:hAnsi="Arial" w:cs="Arial"/>
                <w:sz w:val="24"/>
                <w:szCs w:val="24"/>
              </w:rPr>
            </w:pPr>
            <w:r w:rsidRPr="00920036">
              <w:rPr>
                <w:rFonts w:ascii="Arial" w:hAnsi="Arial" w:cs="Arial"/>
                <w:sz w:val="24"/>
                <w:szCs w:val="24"/>
              </w:rPr>
              <w:t>Business School</w:t>
            </w:r>
          </w:p>
          <w:p w14:paraId="2AE9BBDA" w14:textId="288A3E3B" w:rsidR="00CE7013" w:rsidRPr="00920036" w:rsidRDefault="00CE7013" w:rsidP="008500E7">
            <w:pPr>
              <w:rPr>
                <w:rFonts w:ascii="Arial" w:hAnsi="Arial" w:cs="Arial"/>
                <w:sz w:val="24"/>
                <w:szCs w:val="24"/>
              </w:rPr>
            </w:pPr>
          </w:p>
        </w:tc>
        <w:tc>
          <w:tcPr>
            <w:tcW w:w="7918" w:type="dxa"/>
          </w:tcPr>
          <w:p w14:paraId="63D8578F" w14:textId="09779DE5" w:rsidR="00CE7013" w:rsidRPr="00920036" w:rsidRDefault="00CE7013" w:rsidP="008500E7">
            <w:pPr>
              <w:rPr>
                <w:rFonts w:ascii="Arial" w:hAnsi="Arial" w:cs="Arial"/>
                <w:sz w:val="24"/>
                <w:szCs w:val="24"/>
                <w:lang w:eastAsia="en-GB"/>
              </w:rPr>
            </w:pPr>
            <w:r w:rsidRPr="008500E7">
              <w:rPr>
                <w:rFonts w:ascii="Arial" w:hAnsi="Arial" w:cs="Arial"/>
                <w:sz w:val="24"/>
                <w:szCs w:val="24"/>
              </w:rPr>
              <w:t>MSc Grantmaking, Philanthropy and Social Investment</w:t>
            </w:r>
            <w:r>
              <w:rPr>
                <w:rFonts w:ascii="Arial" w:hAnsi="Arial" w:cs="Arial"/>
                <w:sz w:val="24"/>
                <w:szCs w:val="24"/>
              </w:rPr>
              <w:t xml:space="preserve">, </w:t>
            </w:r>
            <w:r w:rsidRPr="008500E7">
              <w:rPr>
                <w:rFonts w:ascii="Arial" w:hAnsi="Arial" w:cs="Arial"/>
                <w:sz w:val="24"/>
                <w:szCs w:val="24"/>
              </w:rPr>
              <w:t>MSc Charity Accounting and Financial Management</w:t>
            </w:r>
            <w:r>
              <w:rPr>
                <w:rFonts w:ascii="Arial" w:hAnsi="Arial" w:cs="Arial"/>
                <w:sz w:val="24"/>
                <w:szCs w:val="24"/>
              </w:rPr>
              <w:t xml:space="preserve">, </w:t>
            </w:r>
            <w:r w:rsidRPr="008500E7">
              <w:rPr>
                <w:rFonts w:ascii="Arial" w:hAnsi="Arial" w:cs="Arial"/>
                <w:sz w:val="24"/>
                <w:szCs w:val="24"/>
              </w:rPr>
              <w:t>MSc Charity Marketing and Fundraising</w:t>
            </w:r>
            <w:r>
              <w:rPr>
                <w:rFonts w:ascii="Arial" w:hAnsi="Arial" w:cs="Arial"/>
                <w:sz w:val="24"/>
                <w:szCs w:val="24"/>
              </w:rPr>
              <w:t xml:space="preserve">, </w:t>
            </w:r>
            <w:r w:rsidRPr="008500E7">
              <w:rPr>
                <w:rFonts w:ascii="Arial" w:hAnsi="Arial" w:cs="Arial"/>
                <w:sz w:val="24"/>
                <w:szCs w:val="24"/>
              </w:rPr>
              <w:t>MSc NGO Management</w:t>
            </w:r>
            <w:r>
              <w:rPr>
                <w:rFonts w:ascii="Arial" w:hAnsi="Arial" w:cs="Arial"/>
                <w:sz w:val="24"/>
                <w:szCs w:val="24"/>
              </w:rPr>
              <w:t xml:space="preserve">, </w:t>
            </w:r>
            <w:r w:rsidRPr="008500E7">
              <w:rPr>
                <w:rFonts w:ascii="Arial" w:hAnsi="Arial" w:cs="Arial"/>
                <w:sz w:val="24"/>
                <w:szCs w:val="24"/>
              </w:rPr>
              <w:t>MSc Voluntary Sector Management</w:t>
            </w:r>
          </w:p>
        </w:tc>
      </w:tr>
      <w:tr w:rsidR="00CE7013" w:rsidRPr="00920036" w14:paraId="419DD8B3" w14:textId="77777777" w:rsidTr="008500E7">
        <w:trPr>
          <w:trHeight w:val="500"/>
        </w:trPr>
        <w:tc>
          <w:tcPr>
            <w:tcW w:w="2070" w:type="dxa"/>
            <w:vMerge/>
          </w:tcPr>
          <w:p w14:paraId="17A41E7E" w14:textId="5F272A60" w:rsidR="00CE7013" w:rsidRPr="00920036" w:rsidRDefault="00CE7013" w:rsidP="008500E7">
            <w:pPr>
              <w:rPr>
                <w:rFonts w:ascii="Arial" w:hAnsi="Arial" w:cs="Arial"/>
                <w:sz w:val="24"/>
                <w:szCs w:val="24"/>
              </w:rPr>
            </w:pPr>
          </w:p>
        </w:tc>
        <w:tc>
          <w:tcPr>
            <w:tcW w:w="7918" w:type="dxa"/>
          </w:tcPr>
          <w:p w14:paraId="0E327ACE" w14:textId="77777777" w:rsidR="00CE7013" w:rsidRPr="00920036" w:rsidRDefault="00CE7013" w:rsidP="008500E7">
            <w:pPr>
              <w:rPr>
                <w:rFonts w:ascii="Arial" w:hAnsi="Arial" w:cs="Arial"/>
                <w:sz w:val="24"/>
                <w:szCs w:val="24"/>
              </w:rPr>
            </w:pPr>
            <w:r w:rsidRPr="00920036">
              <w:rPr>
                <w:rFonts w:ascii="Arial" w:hAnsi="Arial" w:cs="Arial"/>
                <w:color w:val="000000"/>
                <w:sz w:val="24"/>
                <w:szCs w:val="24"/>
              </w:rPr>
              <w:t>Executive Masters in Leadership &amp; Executive Masters in Medical Leadership</w:t>
            </w:r>
          </w:p>
        </w:tc>
      </w:tr>
      <w:tr w:rsidR="00CE7013" w:rsidRPr="00920036" w14:paraId="09DFE196" w14:textId="77777777" w:rsidTr="008500E7">
        <w:trPr>
          <w:trHeight w:val="500"/>
        </w:trPr>
        <w:tc>
          <w:tcPr>
            <w:tcW w:w="2070" w:type="dxa"/>
            <w:vMerge/>
          </w:tcPr>
          <w:p w14:paraId="7DD3BC7D" w14:textId="47492685" w:rsidR="00CE7013" w:rsidRPr="00920036" w:rsidRDefault="00CE7013" w:rsidP="008500E7">
            <w:pPr>
              <w:rPr>
                <w:rFonts w:ascii="Arial" w:hAnsi="Arial" w:cs="Arial"/>
                <w:sz w:val="24"/>
                <w:szCs w:val="24"/>
              </w:rPr>
            </w:pPr>
          </w:p>
        </w:tc>
        <w:tc>
          <w:tcPr>
            <w:tcW w:w="7918" w:type="dxa"/>
          </w:tcPr>
          <w:p w14:paraId="3EF2F64E" w14:textId="3A82E0F8" w:rsidR="00CE7013" w:rsidRPr="00920036" w:rsidRDefault="00CE7013" w:rsidP="008500E7">
            <w:pPr>
              <w:rPr>
                <w:rFonts w:ascii="Arial" w:hAnsi="Arial" w:cs="Arial"/>
                <w:color w:val="000000"/>
                <w:sz w:val="24"/>
                <w:szCs w:val="24"/>
              </w:rPr>
            </w:pPr>
            <w:r w:rsidRPr="008500E7">
              <w:rPr>
                <w:rFonts w:ascii="Arial" w:hAnsi="Arial" w:cs="Arial"/>
                <w:color w:val="000000"/>
                <w:sz w:val="24"/>
                <w:szCs w:val="24"/>
              </w:rPr>
              <w:t>Dubai Executive MBA</w:t>
            </w:r>
          </w:p>
        </w:tc>
      </w:tr>
      <w:tr w:rsidR="00CE7013" w:rsidRPr="00920036" w14:paraId="030CC3E4" w14:textId="77777777" w:rsidTr="008500E7">
        <w:trPr>
          <w:trHeight w:val="500"/>
        </w:trPr>
        <w:tc>
          <w:tcPr>
            <w:tcW w:w="2070" w:type="dxa"/>
            <w:vMerge/>
          </w:tcPr>
          <w:p w14:paraId="5F1DD250" w14:textId="356C7F3B" w:rsidR="00CE7013" w:rsidRPr="00920036" w:rsidRDefault="00CE7013" w:rsidP="008500E7">
            <w:pPr>
              <w:rPr>
                <w:rFonts w:ascii="Arial" w:hAnsi="Arial" w:cs="Arial"/>
                <w:sz w:val="24"/>
                <w:szCs w:val="24"/>
              </w:rPr>
            </w:pPr>
          </w:p>
        </w:tc>
        <w:tc>
          <w:tcPr>
            <w:tcW w:w="7918" w:type="dxa"/>
          </w:tcPr>
          <w:p w14:paraId="161A1E65" w14:textId="0B7A7210" w:rsidR="00CE7013" w:rsidRPr="008500E7" w:rsidRDefault="00CE7013" w:rsidP="008500E7">
            <w:pPr>
              <w:rPr>
                <w:rFonts w:ascii="Arial" w:hAnsi="Arial" w:cs="Arial"/>
                <w:color w:val="000000"/>
                <w:sz w:val="24"/>
                <w:szCs w:val="24"/>
              </w:rPr>
            </w:pPr>
            <w:r w:rsidRPr="008500E7">
              <w:rPr>
                <w:rFonts w:ascii="Arial" w:hAnsi="Arial" w:cs="Arial"/>
                <w:color w:val="000000"/>
                <w:sz w:val="24"/>
                <w:szCs w:val="24"/>
              </w:rPr>
              <w:t>Executive PhD</w:t>
            </w:r>
          </w:p>
        </w:tc>
      </w:tr>
      <w:tr w:rsidR="008A0CEB" w:rsidRPr="00920036" w14:paraId="675CA1BB" w14:textId="77777777" w:rsidTr="008500E7">
        <w:trPr>
          <w:trHeight w:val="750"/>
        </w:trPr>
        <w:tc>
          <w:tcPr>
            <w:tcW w:w="2070" w:type="dxa"/>
          </w:tcPr>
          <w:p w14:paraId="5F8F16C7" w14:textId="77777777" w:rsidR="008A0CEB" w:rsidRPr="00920036" w:rsidRDefault="008A0CEB" w:rsidP="008500E7">
            <w:pPr>
              <w:rPr>
                <w:rFonts w:ascii="Arial" w:hAnsi="Arial" w:cs="Arial"/>
                <w:sz w:val="24"/>
                <w:szCs w:val="24"/>
              </w:rPr>
            </w:pPr>
            <w:r w:rsidRPr="00920036">
              <w:rPr>
                <w:rFonts w:ascii="Arial" w:hAnsi="Arial" w:cs="Arial"/>
                <w:color w:val="000000"/>
                <w:sz w:val="24"/>
                <w:szCs w:val="24"/>
              </w:rPr>
              <w:t>CLS</w:t>
            </w:r>
          </w:p>
        </w:tc>
        <w:tc>
          <w:tcPr>
            <w:tcW w:w="7918" w:type="dxa"/>
          </w:tcPr>
          <w:p w14:paraId="0F69C2A3" w14:textId="1D3278E6" w:rsidR="008A0CEB" w:rsidRPr="00920036" w:rsidRDefault="008500E7" w:rsidP="008500E7">
            <w:pPr>
              <w:rPr>
                <w:rFonts w:ascii="Arial" w:hAnsi="Arial" w:cs="Arial"/>
                <w:color w:val="000000"/>
                <w:sz w:val="24"/>
                <w:szCs w:val="24"/>
              </w:rPr>
            </w:pPr>
            <w:r w:rsidRPr="008500E7">
              <w:rPr>
                <w:rFonts w:ascii="Arial" w:hAnsi="Arial" w:cs="Arial"/>
                <w:color w:val="000000"/>
                <w:sz w:val="24"/>
                <w:szCs w:val="24"/>
              </w:rPr>
              <w:t>LLB Legal Practice (solicitor apprenticeship)</w:t>
            </w:r>
          </w:p>
        </w:tc>
      </w:tr>
      <w:tr w:rsidR="00CE7013" w:rsidRPr="00920036" w14:paraId="35BEFC1E" w14:textId="77777777" w:rsidTr="008500E7">
        <w:trPr>
          <w:trHeight w:val="734"/>
        </w:trPr>
        <w:tc>
          <w:tcPr>
            <w:tcW w:w="2070" w:type="dxa"/>
            <w:vMerge w:val="restart"/>
          </w:tcPr>
          <w:p w14:paraId="1E17B0B3" w14:textId="77777777" w:rsidR="00CE7013" w:rsidRPr="00920036" w:rsidRDefault="00CE7013" w:rsidP="008500E7">
            <w:pPr>
              <w:rPr>
                <w:rFonts w:ascii="Arial" w:hAnsi="Arial" w:cs="Arial"/>
                <w:sz w:val="24"/>
                <w:szCs w:val="24"/>
              </w:rPr>
            </w:pPr>
            <w:r w:rsidRPr="00920036">
              <w:rPr>
                <w:rFonts w:ascii="Arial" w:hAnsi="Arial" w:cs="Arial"/>
                <w:color w:val="000000"/>
                <w:sz w:val="24"/>
                <w:szCs w:val="24"/>
              </w:rPr>
              <w:t>SASS</w:t>
            </w:r>
          </w:p>
          <w:p w14:paraId="67B57DD0" w14:textId="4F87DFAF" w:rsidR="00CE7013" w:rsidRPr="00920036" w:rsidRDefault="00CE7013" w:rsidP="008500E7">
            <w:pPr>
              <w:rPr>
                <w:rFonts w:ascii="Arial" w:hAnsi="Arial" w:cs="Arial"/>
                <w:sz w:val="24"/>
                <w:szCs w:val="24"/>
              </w:rPr>
            </w:pPr>
          </w:p>
        </w:tc>
        <w:tc>
          <w:tcPr>
            <w:tcW w:w="7918" w:type="dxa"/>
          </w:tcPr>
          <w:p w14:paraId="38A89092" w14:textId="7C8F9197" w:rsidR="00CE7013" w:rsidRPr="00920036" w:rsidRDefault="00CE7013" w:rsidP="007D0CB1">
            <w:pPr>
              <w:rPr>
                <w:rFonts w:ascii="Arial" w:hAnsi="Arial" w:cs="Arial"/>
                <w:sz w:val="24"/>
                <w:szCs w:val="24"/>
              </w:rPr>
            </w:pPr>
            <w:r w:rsidRPr="008500E7">
              <w:rPr>
                <w:rFonts w:ascii="Arial" w:hAnsi="Arial" w:cs="Arial"/>
                <w:color w:val="000000"/>
                <w:sz w:val="24"/>
                <w:szCs w:val="24"/>
              </w:rPr>
              <w:t>BSc Psychology</w:t>
            </w:r>
            <w:r>
              <w:rPr>
                <w:rFonts w:ascii="Arial" w:hAnsi="Arial" w:cs="Arial"/>
                <w:color w:val="000000"/>
                <w:sz w:val="24"/>
                <w:szCs w:val="24"/>
              </w:rPr>
              <w:t xml:space="preserve">, </w:t>
            </w:r>
            <w:r w:rsidRPr="008500E7">
              <w:rPr>
                <w:rFonts w:ascii="Arial" w:hAnsi="Arial" w:cs="Arial"/>
                <w:color w:val="000000"/>
                <w:sz w:val="24"/>
                <w:szCs w:val="24"/>
              </w:rPr>
              <w:t>BSc Criminology &amp; Psychology</w:t>
            </w:r>
            <w:r>
              <w:rPr>
                <w:rFonts w:ascii="Arial" w:hAnsi="Arial" w:cs="Arial"/>
                <w:color w:val="000000"/>
                <w:sz w:val="24"/>
                <w:szCs w:val="24"/>
              </w:rPr>
              <w:t xml:space="preserve">, </w:t>
            </w:r>
            <w:r w:rsidRPr="008500E7">
              <w:rPr>
                <w:rFonts w:ascii="Arial" w:hAnsi="Arial" w:cs="Arial"/>
                <w:color w:val="000000"/>
                <w:sz w:val="24"/>
                <w:szCs w:val="24"/>
              </w:rPr>
              <w:t>BSc</w:t>
            </w:r>
            <w:r>
              <w:rPr>
                <w:rFonts w:ascii="Arial" w:hAnsi="Arial" w:cs="Arial"/>
                <w:color w:val="000000"/>
                <w:sz w:val="24"/>
                <w:szCs w:val="24"/>
              </w:rPr>
              <w:t xml:space="preserve"> </w:t>
            </w:r>
            <w:r w:rsidRPr="008500E7">
              <w:rPr>
                <w:rFonts w:ascii="Arial" w:hAnsi="Arial" w:cs="Arial"/>
                <w:color w:val="000000"/>
                <w:sz w:val="24"/>
                <w:szCs w:val="24"/>
              </w:rPr>
              <w:t>Psychology with Child Development</w:t>
            </w:r>
            <w:r>
              <w:rPr>
                <w:rFonts w:ascii="Arial" w:hAnsi="Arial" w:cs="Arial"/>
                <w:color w:val="000000"/>
                <w:sz w:val="24"/>
                <w:szCs w:val="24"/>
              </w:rPr>
              <w:t>,</w:t>
            </w:r>
            <w:r w:rsidRPr="008500E7">
              <w:rPr>
                <w:rFonts w:ascii="Arial" w:hAnsi="Arial" w:cs="Arial"/>
                <w:color w:val="000000"/>
                <w:sz w:val="24"/>
                <w:szCs w:val="24"/>
              </w:rPr>
              <w:t xml:space="preserve"> BSc Psychology with</w:t>
            </w:r>
            <w:r>
              <w:rPr>
                <w:rFonts w:ascii="Arial" w:hAnsi="Arial" w:cs="Arial"/>
                <w:color w:val="000000"/>
                <w:sz w:val="24"/>
                <w:szCs w:val="24"/>
              </w:rPr>
              <w:t xml:space="preserve"> </w:t>
            </w:r>
            <w:r w:rsidRPr="008500E7">
              <w:rPr>
                <w:rFonts w:ascii="Arial" w:hAnsi="Arial" w:cs="Arial"/>
                <w:color w:val="000000"/>
                <w:sz w:val="24"/>
                <w:szCs w:val="24"/>
              </w:rPr>
              <w:t>Cognitive Clinical</w:t>
            </w:r>
            <w:r>
              <w:rPr>
                <w:rFonts w:ascii="Arial" w:hAnsi="Arial" w:cs="Arial"/>
                <w:color w:val="000000"/>
                <w:sz w:val="24"/>
                <w:szCs w:val="24"/>
              </w:rPr>
              <w:t xml:space="preserve"> </w:t>
            </w:r>
            <w:r w:rsidRPr="008500E7">
              <w:rPr>
                <w:rFonts w:ascii="Arial" w:hAnsi="Arial" w:cs="Arial"/>
                <w:color w:val="000000"/>
                <w:sz w:val="24"/>
                <w:szCs w:val="24"/>
              </w:rPr>
              <w:t>Neuroscience</w:t>
            </w:r>
            <w:r>
              <w:rPr>
                <w:rFonts w:ascii="Arial" w:hAnsi="Arial" w:cs="Arial"/>
                <w:color w:val="000000"/>
                <w:sz w:val="24"/>
                <w:szCs w:val="24"/>
              </w:rPr>
              <w:t>,</w:t>
            </w:r>
            <w:r w:rsidRPr="008500E7">
              <w:rPr>
                <w:rFonts w:ascii="Arial" w:hAnsi="Arial" w:cs="Arial"/>
                <w:color w:val="000000"/>
                <w:sz w:val="24"/>
                <w:szCs w:val="24"/>
              </w:rPr>
              <w:t xml:space="preserve"> BSc Psychology with</w:t>
            </w:r>
            <w:r>
              <w:rPr>
                <w:rFonts w:ascii="Arial" w:hAnsi="Arial" w:cs="Arial"/>
                <w:color w:val="000000"/>
                <w:sz w:val="24"/>
                <w:szCs w:val="24"/>
              </w:rPr>
              <w:t xml:space="preserve"> </w:t>
            </w:r>
            <w:r w:rsidRPr="008500E7">
              <w:rPr>
                <w:rFonts w:ascii="Arial" w:hAnsi="Arial" w:cs="Arial"/>
                <w:color w:val="000000"/>
                <w:sz w:val="24"/>
                <w:szCs w:val="24"/>
              </w:rPr>
              <w:t>Counselling Health Psychology</w:t>
            </w:r>
            <w:r>
              <w:rPr>
                <w:rFonts w:ascii="Arial" w:hAnsi="Arial" w:cs="Arial"/>
                <w:color w:val="000000"/>
                <w:sz w:val="24"/>
                <w:szCs w:val="24"/>
              </w:rPr>
              <w:t xml:space="preserve">, </w:t>
            </w:r>
            <w:r w:rsidRPr="008500E7">
              <w:rPr>
                <w:rFonts w:ascii="Arial" w:hAnsi="Arial" w:cs="Arial"/>
                <w:color w:val="000000"/>
                <w:sz w:val="24"/>
                <w:szCs w:val="24"/>
              </w:rPr>
              <w:lastRenderedPageBreak/>
              <w:t>BSc Psychology with</w:t>
            </w:r>
            <w:r>
              <w:rPr>
                <w:rFonts w:ascii="Arial" w:hAnsi="Arial" w:cs="Arial"/>
                <w:color w:val="000000"/>
                <w:sz w:val="24"/>
                <w:szCs w:val="24"/>
              </w:rPr>
              <w:t xml:space="preserve"> </w:t>
            </w:r>
            <w:r w:rsidRPr="008500E7">
              <w:rPr>
                <w:rFonts w:ascii="Arial" w:hAnsi="Arial" w:cs="Arial"/>
                <w:color w:val="000000"/>
                <w:sz w:val="24"/>
                <w:szCs w:val="24"/>
              </w:rPr>
              <w:t>Organisational Psychology and Behavioural Economics</w:t>
            </w:r>
          </w:p>
        </w:tc>
      </w:tr>
      <w:tr w:rsidR="00CE7013" w:rsidRPr="00920036" w14:paraId="1D21820D" w14:textId="77777777" w:rsidTr="008500E7">
        <w:trPr>
          <w:trHeight w:val="250"/>
        </w:trPr>
        <w:tc>
          <w:tcPr>
            <w:tcW w:w="2070" w:type="dxa"/>
            <w:vMerge/>
          </w:tcPr>
          <w:p w14:paraId="7ADAE4E2" w14:textId="2888AB13" w:rsidR="00CE7013" w:rsidRPr="00920036" w:rsidRDefault="00CE7013" w:rsidP="008500E7">
            <w:pPr>
              <w:rPr>
                <w:rFonts w:ascii="Arial" w:hAnsi="Arial" w:cs="Arial"/>
                <w:sz w:val="24"/>
                <w:szCs w:val="24"/>
              </w:rPr>
            </w:pPr>
          </w:p>
        </w:tc>
        <w:tc>
          <w:tcPr>
            <w:tcW w:w="7918" w:type="dxa"/>
          </w:tcPr>
          <w:p w14:paraId="3A8BB813" w14:textId="1AD50398" w:rsidR="00CE7013" w:rsidRPr="00920036" w:rsidRDefault="00CE7013" w:rsidP="008500E7">
            <w:pPr>
              <w:rPr>
                <w:rFonts w:ascii="Arial" w:hAnsi="Arial" w:cs="Arial"/>
                <w:sz w:val="24"/>
                <w:szCs w:val="24"/>
              </w:rPr>
            </w:pPr>
            <w:r w:rsidRPr="007D0CB1">
              <w:rPr>
                <w:rFonts w:ascii="Arial" w:hAnsi="Arial" w:cs="Arial"/>
                <w:color w:val="000000"/>
                <w:sz w:val="24"/>
                <w:szCs w:val="24"/>
              </w:rPr>
              <w:t>BSc International Politics, BSc International Political Economy, BSc Politics</w:t>
            </w:r>
          </w:p>
        </w:tc>
      </w:tr>
      <w:tr w:rsidR="00CE7013" w:rsidRPr="00920036" w14:paraId="5E8DFFDF" w14:textId="77777777" w:rsidTr="008500E7">
        <w:trPr>
          <w:trHeight w:val="250"/>
        </w:trPr>
        <w:tc>
          <w:tcPr>
            <w:tcW w:w="2070" w:type="dxa"/>
            <w:vMerge/>
          </w:tcPr>
          <w:p w14:paraId="660186C1" w14:textId="31AC8931" w:rsidR="00CE7013" w:rsidRPr="00920036" w:rsidRDefault="00CE7013" w:rsidP="008500E7">
            <w:pPr>
              <w:rPr>
                <w:rFonts w:ascii="Arial" w:hAnsi="Arial" w:cs="Arial"/>
                <w:color w:val="000000"/>
                <w:sz w:val="24"/>
                <w:szCs w:val="24"/>
              </w:rPr>
            </w:pPr>
          </w:p>
        </w:tc>
        <w:tc>
          <w:tcPr>
            <w:tcW w:w="7918" w:type="dxa"/>
          </w:tcPr>
          <w:p w14:paraId="639B796C" w14:textId="0B5184A2" w:rsidR="00CE7013" w:rsidRPr="007D0CB1" w:rsidRDefault="00CE7013" w:rsidP="007D0CB1">
            <w:pPr>
              <w:rPr>
                <w:rFonts w:ascii="Arial" w:hAnsi="Arial" w:cs="Arial"/>
                <w:color w:val="000000"/>
                <w:sz w:val="24"/>
                <w:szCs w:val="24"/>
              </w:rPr>
            </w:pPr>
            <w:r w:rsidRPr="007D0CB1">
              <w:rPr>
                <w:rFonts w:ascii="Arial" w:hAnsi="Arial" w:cs="Arial"/>
                <w:color w:val="000000"/>
                <w:sz w:val="24"/>
                <w:szCs w:val="24"/>
              </w:rPr>
              <w:t>BSc Economics</w:t>
            </w:r>
            <w:r>
              <w:rPr>
                <w:rFonts w:ascii="Arial" w:hAnsi="Arial" w:cs="Arial"/>
                <w:color w:val="000000"/>
                <w:sz w:val="24"/>
                <w:szCs w:val="24"/>
              </w:rPr>
              <w:t xml:space="preserve">, </w:t>
            </w:r>
            <w:r w:rsidRPr="007D0CB1">
              <w:rPr>
                <w:rFonts w:ascii="Arial" w:hAnsi="Arial" w:cs="Arial"/>
                <w:color w:val="000000"/>
                <w:sz w:val="24"/>
                <w:szCs w:val="24"/>
              </w:rPr>
              <w:t>BSc Economics (Economics and Econometrics)</w:t>
            </w:r>
            <w:r>
              <w:rPr>
                <w:rFonts w:ascii="Arial" w:hAnsi="Arial" w:cs="Arial"/>
                <w:color w:val="000000"/>
                <w:sz w:val="24"/>
                <w:szCs w:val="24"/>
              </w:rPr>
              <w:t xml:space="preserve">, </w:t>
            </w:r>
            <w:r w:rsidRPr="007D0CB1">
              <w:rPr>
                <w:rFonts w:ascii="Arial" w:hAnsi="Arial" w:cs="Arial"/>
                <w:color w:val="000000"/>
                <w:sz w:val="24"/>
                <w:szCs w:val="24"/>
              </w:rPr>
              <w:t>BSc Financial Economics</w:t>
            </w:r>
            <w:r>
              <w:rPr>
                <w:rFonts w:ascii="Arial" w:hAnsi="Arial" w:cs="Arial"/>
                <w:color w:val="000000"/>
                <w:sz w:val="24"/>
                <w:szCs w:val="24"/>
              </w:rPr>
              <w:t xml:space="preserve">, </w:t>
            </w:r>
            <w:r w:rsidRPr="007D0CB1">
              <w:rPr>
                <w:rFonts w:ascii="Arial" w:hAnsi="Arial" w:cs="Arial"/>
                <w:color w:val="000000"/>
                <w:sz w:val="24"/>
                <w:szCs w:val="24"/>
              </w:rPr>
              <w:t>BSc Economics with Accounting</w:t>
            </w:r>
          </w:p>
        </w:tc>
      </w:tr>
      <w:tr w:rsidR="00CE7013" w:rsidRPr="00920036" w14:paraId="4D09BC46" w14:textId="77777777" w:rsidTr="008500E7">
        <w:trPr>
          <w:trHeight w:val="250"/>
        </w:trPr>
        <w:tc>
          <w:tcPr>
            <w:tcW w:w="2070" w:type="dxa"/>
            <w:vMerge/>
          </w:tcPr>
          <w:p w14:paraId="192EB6AF" w14:textId="238A015C" w:rsidR="00CE7013" w:rsidRDefault="00CE7013" w:rsidP="008500E7">
            <w:pPr>
              <w:rPr>
                <w:rFonts w:ascii="Arial" w:hAnsi="Arial" w:cs="Arial"/>
                <w:color w:val="000000"/>
                <w:sz w:val="24"/>
                <w:szCs w:val="24"/>
              </w:rPr>
            </w:pPr>
          </w:p>
        </w:tc>
        <w:tc>
          <w:tcPr>
            <w:tcW w:w="7918" w:type="dxa"/>
          </w:tcPr>
          <w:p w14:paraId="302315D8" w14:textId="5101B467" w:rsidR="00CE7013" w:rsidRPr="007D0CB1" w:rsidRDefault="00CE7013" w:rsidP="007D0CB1">
            <w:pPr>
              <w:rPr>
                <w:rFonts w:ascii="Arial" w:hAnsi="Arial" w:cs="Arial"/>
                <w:color w:val="000000"/>
                <w:sz w:val="24"/>
                <w:szCs w:val="24"/>
              </w:rPr>
            </w:pPr>
            <w:r>
              <w:rPr>
                <w:rFonts w:ascii="Arial" w:hAnsi="Arial" w:cs="Arial"/>
                <w:color w:val="000000"/>
                <w:sz w:val="24"/>
                <w:szCs w:val="24"/>
              </w:rPr>
              <w:t>All UG Sociology</w:t>
            </w:r>
          </w:p>
        </w:tc>
      </w:tr>
      <w:tr w:rsidR="00CE7013" w:rsidRPr="00920036" w14:paraId="5D00BE00" w14:textId="77777777" w:rsidTr="008500E7">
        <w:trPr>
          <w:trHeight w:val="250"/>
        </w:trPr>
        <w:tc>
          <w:tcPr>
            <w:tcW w:w="2070" w:type="dxa"/>
            <w:vMerge/>
          </w:tcPr>
          <w:p w14:paraId="4288C404" w14:textId="03DC06C8" w:rsidR="00CE7013" w:rsidRDefault="00CE7013" w:rsidP="008500E7">
            <w:pPr>
              <w:rPr>
                <w:rFonts w:ascii="Arial" w:hAnsi="Arial" w:cs="Arial"/>
                <w:color w:val="000000"/>
                <w:sz w:val="24"/>
                <w:szCs w:val="24"/>
              </w:rPr>
            </w:pPr>
          </w:p>
        </w:tc>
        <w:tc>
          <w:tcPr>
            <w:tcW w:w="7918" w:type="dxa"/>
          </w:tcPr>
          <w:p w14:paraId="13D49264" w14:textId="01310DA3" w:rsidR="00CE7013" w:rsidRDefault="00CE7013" w:rsidP="007D0CB1">
            <w:pPr>
              <w:rPr>
                <w:rFonts w:ascii="Arial" w:hAnsi="Arial" w:cs="Arial"/>
                <w:color w:val="000000"/>
                <w:sz w:val="24"/>
                <w:szCs w:val="24"/>
              </w:rPr>
            </w:pPr>
            <w:r w:rsidRPr="007D0CB1">
              <w:rPr>
                <w:rFonts w:ascii="Arial" w:hAnsi="Arial" w:cs="Arial"/>
                <w:color w:val="000000"/>
                <w:sz w:val="24"/>
                <w:szCs w:val="24"/>
              </w:rPr>
              <w:t>MA Global Political Economy</w:t>
            </w:r>
            <w:r>
              <w:rPr>
                <w:rFonts w:ascii="Arial" w:hAnsi="Arial" w:cs="Arial"/>
                <w:color w:val="000000"/>
                <w:sz w:val="24"/>
                <w:szCs w:val="24"/>
              </w:rPr>
              <w:t xml:space="preserve">, </w:t>
            </w:r>
            <w:r w:rsidRPr="007D0CB1">
              <w:rPr>
                <w:rFonts w:ascii="Arial" w:hAnsi="Arial" w:cs="Arial"/>
                <w:color w:val="000000"/>
                <w:sz w:val="24"/>
                <w:szCs w:val="24"/>
              </w:rPr>
              <w:t>MA Diplomacy and Foreign Policy</w:t>
            </w:r>
            <w:r>
              <w:rPr>
                <w:rFonts w:ascii="Arial" w:hAnsi="Arial" w:cs="Arial"/>
                <w:color w:val="000000"/>
                <w:sz w:val="24"/>
                <w:szCs w:val="24"/>
              </w:rPr>
              <w:t xml:space="preserve">, </w:t>
            </w:r>
            <w:r w:rsidRPr="007D0CB1">
              <w:rPr>
                <w:rFonts w:ascii="Arial" w:hAnsi="Arial" w:cs="Arial"/>
                <w:color w:val="000000"/>
                <w:sz w:val="24"/>
                <w:szCs w:val="24"/>
              </w:rPr>
              <w:t>MA International Politics</w:t>
            </w:r>
            <w:r>
              <w:rPr>
                <w:rFonts w:ascii="Arial" w:hAnsi="Arial" w:cs="Arial"/>
                <w:color w:val="000000"/>
                <w:sz w:val="24"/>
                <w:szCs w:val="24"/>
              </w:rPr>
              <w:t xml:space="preserve">, </w:t>
            </w:r>
            <w:r w:rsidRPr="007D0CB1">
              <w:rPr>
                <w:rFonts w:ascii="Arial" w:hAnsi="Arial" w:cs="Arial"/>
                <w:color w:val="000000"/>
                <w:sz w:val="24"/>
                <w:szCs w:val="24"/>
              </w:rPr>
              <w:t>MA International Politics and Human Rights</w:t>
            </w:r>
          </w:p>
        </w:tc>
      </w:tr>
      <w:tr w:rsidR="00CE7013" w:rsidRPr="00920036" w14:paraId="70F13BD7" w14:textId="77777777" w:rsidTr="008500E7">
        <w:trPr>
          <w:trHeight w:val="250"/>
        </w:trPr>
        <w:tc>
          <w:tcPr>
            <w:tcW w:w="2070" w:type="dxa"/>
            <w:vMerge w:val="restart"/>
          </w:tcPr>
          <w:p w14:paraId="4B488866" w14:textId="77777777" w:rsidR="00CE7013" w:rsidRDefault="00CE7013" w:rsidP="008500E7">
            <w:pPr>
              <w:rPr>
                <w:rFonts w:ascii="Arial" w:hAnsi="Arial" w:cs="Arial"/>
                <w:color w:val="000000"/>
                <w:sz w:val="24"/>
                <w:szCs w:val="24"/>
              </w:rPr>
            </w:pPr>
            <w:r>
              <w:rPr>
                <w:rFonts w:ascii="Arial" w:hAnsi="Arial" w:cs="Arial"/>
                <w:color w:val="000000"/>
                <w:sz w:val="24"/>
                <w:szCs w:val="24"/>
              </w:rPr>
              <w:t>SMCSE</w:t>
            </w:r>
          </w:p>
          <w:p w14:paraId="6B454764" w14:textId="5A261487" w:rsidR="00CE7013" w:rsidRDefault="00CE7013" w:rsidP="008500E7">
            <w:pPr>
              <w:rPr>
                <w:rFonts w:ascii="Arial" w:hAnsi="Arial" w:cs="Arial"/>
                <w:color w:val="000000"/>
                <w:sz w:val="24"/>
                <w:szCs w:val="24"/>
              </w:rPr>
            </w:pPr>
          </w:p>
        </w:tc>
        <w:tc>
          <w:tcPr>
            <w:tcW w:w="7918" w:type="dxa"/>
          </w:tcPr>
          <w:p w14:paraId="5BD0B65F" w14:textId="6630F081" w:rsidR="00CE7013" w:rsidRPr="007D0CB1" w:rsidRDefault="00CE7013" w:rsidP="007D0CB1">
            <w:pPr>
              <w:rPr>
                <w:rFonts w:ascii="Arial" w:hAnsi="Arial" w:cs="Arial"/>
                <w:color w:val="000000"/>
                <w:sz w:val="24"/>
                <w:szCs w:val="24"/>
              </w:rPr>
            </w:pPr>
            <w:r w:rsidRPr="007D0CB1">
              <w:rPr>
                <w:rFonts w:ascii="Arial" w:hAnsi="Arial" w:cs="Arial"/>
                <w:color w:val="000000"/>
                <w:sz w:val="24"/>
                <w:szCs w:val="24"/>
              </w:rPr>
              <w:t>MSc Software Engineering</w:t>
            </w:r>
          </w:p>
        </w:tc>
      </w:tr>
      <w:tr w:rsidR="00CE7013" w:rsidRPr="00920036" w14:paraId="1E6A95EF" w14:textId="77777777" w:rsidTr="008500E7">
        <w:trPr>
          <w:trHeight w:val="250"/>
        </w:trPr>
        <w:tc>
          <w:tcPr>
            <w:tcW w:w="2070" w:type="dxa"/>
            <w:vMerge/>
          </w:tcPr>
          <w:p w14:paraId="09667342" w14:textId="2721806C" w:rsidR="00CE7013" w:rsidRDefault="00CE7013" w:rsidP="008500E7">
            <w:pPr>
              <w:rPr>
                <w:rFonts w:ascii="Arial" w:hAnsi="Arial" w:cs="Arial"/>
                <w:color w:val="000000"/>
                <w:sz w:val="24"/>
                <w:szCs w:val="24"/>
              </w:rPr>
            </w:pPr>
          </w:p>
        </w:tc>
        <w:tc>
          <w:tcPr>
            <w:tcW w:w="7918" w:type="dxa"/>
          </w:tcPr>
          <w:p w14:paraId="3A6060B3" w14:textId="0B82DCAE" w:rsidR="00CE7013" w:rsidRPr="007D0CB1" w:rsidRDefault="00CE7013" w:rsidP="007D0CB1">
            <w:pPr>
              <w:rPr>
                <w:rFonts w:ascii="Arial" w:hAnsi="Arial" w:cs="Arial"/>
                <w:color w:val="000000"/>
                <w:sz w:val="24"/>
                <w:szCs w:val="24"/>
              </w:rPr>
            </w:pPr>
            <w:r w:rsidRPr="007D0CB1">
              <w:rPr>
                <w:rFonts w:ascii="Arial" w:hAnsi="Arial" w:cs="Arial"/>
                <w:color w:val="000000"/>
                <w:sz w:val="24"/>
                <w:szCs w:val="24"/>
              </w:rPr>
              <w:t>MSc Construction Management</w:t>
            </w:r>
          </w:p>
        </w:tc>
      </w:tr>
      <w:tr w:rsidR="00CE7013" w:rsidRPr="00920036" w14:paraId="6F488BA7" w14:textId="77777777" w:rsidTr="008500E7">
        <w:trPr>
          <w:trHeight w:val="250"/>
        </w:trPr>
        <w:tc>
          <w:tcPr>
            <w:tcW w:w="2070" w:type="dxa"/>
            <w:vMerge/>
          </w:tcPr>
          <w:p w14:paraId="6BE82B80" w14:textId="429BF8B5" w:rsidR="00CE7013" w:rsidRDefault="00CE7013" w:rsidP="008500E7">
            <w:pPr>
              <w:rPr>
                <w:rFonts w:ascii="Arial" w:hAnsi="Arial" w:cs="Arial"/>
                <w:color w:val="000000"/>
                <w:sz w:val="24"/>
                <w:szCs w:val="24"/>
              </w:rPr>
            </w:pPr>
          </w:p>
        </w:tc>
        <w:tc>
          <w:tcPr>
            <w:tcW w:w="7918" w:type="dxa"/>
          </w:tcPr>
          <w:p w14:paraId="44D9B6D9" w14:textId="223C42C1" w:rsidR="00CE7013" w:rsidRPr="007D0CB1" w:rsidRDefault="00CE7013" w:rsidP="007D0CB1">
            <w:pPr>
              <w:rPr>
                <w:rFonts w:ascii="Arial" w:hAnsi="Arial" w:cs="Arial"/>
                <w:color w:val="000000"/>
                <w:sz w:val="24"/>
                <w:szCs w:val="24"/>
              </w:rPr>
            </w:pPr>
            <w:r w:rsidRPr="007D0CB1">
              <w:rPr>
                <w:rFonts w:ascii="Arial" w:hAnsi="Arial" w:cs="Arial"/>
                <w:color w:val="000000"/>
                <w:sz w:val="24"/>
                <w:szCs w:val="24"/>
              </w:rPr>
              <w:t>MSc Temporary Works and Construction Method Engineering (PT only)</w:t>
            </w:r>
          </w:p>
        </w:tc>
      </w:tr>
      <w:tr w:rsidR="00CE7013" w:rsidRPr="00920036" w14:paraId="6CD79DCB" w14:textId="77777777" w:rsidTr="008500E7">
        <w:trPr>
          <w:trHeight w:val="250"/>
        </w:trPr>
        <w:tc>
          <w:tcPr>
            <w:tcW w:w="2070" w:type="dxa"/>
            <w:vMerge/>
          </w:tcPr>
          <w:p w14:paraId="5E054F28" w14:textId="083C7723" w:rsidR="00CE7013" w:rsidRDefault="00CE7013" w:rsidP="008500E7">
            <w:pPr>
              <w:rPr>
                <w:rFonts w:ascii="Arial" w:hAnsi="Arial" w:cs="Arial"/>
                <w:color w:val="000000"/>
                <w:sz w:val="24"/>
                <w:szCs w:val="24"/>
              </w:rPr>
            </w:pPr>
          </w:p>
        </w:tc>
        <w:tc>
          <w:tcPr>
            <w:tcW w:w="7918" w:type="dxa"/>
          </w:tcPr>
          <w:p w14:paraId="0CBA944A" w14:textId="09B80189" w:rsidR="00CE7013" w:rsidRPr="007D0CB1" w:rsidRDefault="00CE7013" w:rsidP="007D0CB1">
            <w:pPr>
              <w:rPr>
                <w:rFonts w:ascii="Arial" w:hAnsi="Arial" w:cs="Arial"/>
                <w:color w:val="000000"/>
                <w:sz w:val="24"/>
                <w:szCs w:val="24"/>
              </w:rPr>
            </w:pPr>
            <w:r w:rsidRPr="007D0CB1">
              <w:rPr>
                <w:rFonts w:ascii="Arial" w:hAnsi="Arial" w:cs="Arial"/>
                <w:color w:val="000000"/>
                <w:sz w:val="24"/>
                <w:szCs w:val="24"/>
              </w:rPr>
              <w:t>MSc Computer Games Technology</w:t>
            </w:r>
          </w:p>
        </w:tc>
      </w:tr>
      <w:tr w:rsidR="00CE7013" w:rsidRPr="00920036" w14:paraId="5ED0D049" w14:textId="77777777" w:rsidTr="008500E7">
        <w:trPr>
          <w:trHeight w:val="250"/>
        </w:trPr>
        <w:tc>
          <w:tcPr>
            <w:tcW w:w="2070" w:type="dxa"/>
            <w:vMerge/>
          </w:tcPr>
          <w:p w14:paraId="191713FB" w14:textId="20F29E76" w:rsidR="00CE7013" w:rsidRDefault="00CE7013" w:rsidP="008500E7">
            <w:pPr>
              <w:rPr>
                <w:rFonts w:ascii="Arial" w:hAnsi="Arial" w:cs="Arial"/>
                <w:color w:val="000000"/>
                <w:sz w:val="24"/>
                <w:szCs w:val="24"/>
              </w:rPr>
            </w:pPr>
          </w:p>
        </w:tc>
        <w:tc>
          <w:tcPr>
            <w:tcW w:w="7918" w:type="dxa"/>
          </w:tcPr>
          <w:p w14:paraId="256640CD" w14:textId="4435F4E7" w:rsidR="00CE7013" w:rsidRPr="007D0CB1" w:rsidRDefault="00CE7013" w:rsidP="007D0CB1">
            <w:pPr>
              <w:rPr>
                <w:rFonts w:ascii="Arial" w:hAnsi="Arial" w:cs="Arial"/>
                <w:color w:val="000000"/>
                <w:sz w:val="24"/>
                <w:szCs w:val="24"/>
              </w:rPr>
            </w:pPr>
            <w:r w:rsidRPr="007D0CB1">
              <w:rPr>
                <w:rFonts w:ascii="Arial" w:hAnsi="Arial" w:cs="Arial"/>
                <w:color w:val="000000"/>
                <w:sz w:val="24"/>
                <w:szCs w:val="24"/>
              </w:rPr>
              <w:t>MPhil / PhD Computer Science</w:t>
            </w:r>
          </w:p>
        </w:tc>
      </w:tr>
      <w:tr w:rsidR="00CE7013" w:rsidRPr="00920036" w14:paraId="1A520AF4" w14:textId="77777777" w:rsidTr="008500E7">
        <w:trPr>
          <w:trHeight w:val="250"/>
        </w:trPr>
        <w:tc>
          <w:tcPr>
            <w:tcW w:w="2070" w:type="dxa"/>
            <w:vMerge/>
          </w:tcPr>
          <w:p w14:paraId="433E5AEB" w14:textId="6B382409" w:rsidR="00CE7013" w:rsidRDefault="00CE7013" w:rsidP="008500E7">
            <w:pPr>
              <w:rPr>
                <w:rFonts w:ascii="Arial" w:hAnsi="Arial" w:cs="Arial"/>
                <w:color w:val="000000"/>
                <w:sz w:val="24"/>
                <w:szCs w:val="24"/>
              </w:rPr>
            </w:pPr>
          </w:p>
        </w:tc>
        <w:tc>
          <w:tcPr>
            <w:tcW w:w="7918" w:type="dxa"/>
          </w:tcPr>
          <w:p w14:paraId="4A32CF93" w14:textId="2417A74D" w:rsidR="00CE7013" w:rsidRPr="007D0CB1" w:rsidRDefault="00CE7013" w:rsidP="007D0CB1">
            <w:pPr>
              <w:rPr>
                <w:rFonts w:ascii="Arial" w:hAnsi="Arial" w:cs="Arial"/>
                <w:color w:val="000000"/>
                <w:sz w:val="24"/>
                <w:szCs w:val="24"/>
              </w:rPr>
            </w:pPr>
            <w:r w:rsidRPr="007D0CB1">
              <w:rPr>
                <w:rFonts w:ascii="Arial" w:hAnsi="Arial" w:cs="Arial"/>
                <w:color w:val="000000"/>
                <w:sz w:val="24"/>
                <w:szCs w:val="24"/>
              </w:rPr>
              <w:t>MSc Maritime Operations and Management</w:t>
            </w:r>
          </w:p>
        </w:tc>
      </w:tr>
      <w:tr w:rsidR="00CE7013" w:rsidRPr="00920036" w14:paraId="603F09CA" w14:textId="77777777" w:rsidTr="008500E7">
        <w:trPr>
          <w:trHeight w:val="250"/>
        </w:trPr>
        <w:tc>
          <w:tcPr>
            <w:tcW w:w="2070" w:type="dxa"/>
            <w:vMerge w:val="restart"/>
          </w:tcPr>
          <w:p w14:paraId="54BE7716" w14:textId="77777777" w:rsidR="00CE7013" w:rsidRPr="00920036" w:rsidRDefault="00CE7013" w:rsidP="008500E7">
            <w:pPr>
              <w:rPr>
                <w:rFonts w:ascii="Arial" w:hAnsi="Arial" w:cs="Arial"/>
                <w:sz w:val="24"/>
                <w:szCs w:val="24"/>
              </w:rPr>
            </w:pPr>
            <w:r w:rsidRPr="00920036">
              <w:rPr>
                <w:rFonts w:ascii="Arial" w:hAnsi="Arial" w:cs="Arial"/>
                <w:sz w:val="24"/>
                <w:szCs w:val="24"/>
              </w:rPr>
              <w:t>SHS</w:t>
            </w:r>
          </w:p>
          <w:p w14:paraId="2986FBB3" w14:textId="19BB1BBB" w:rsidR="00CE7013" w:rsidRPr="00920036" w:rsidRDefault="00CE7013" w:rsidP="008500E7">
            <w:pPr>
              <w:rPr>
                <w:rFonts w:ascii="Arial" w:hAnsi="Arial" w:cs="Arial"/>
                <w:sz w:val="24"/>
                <w:szCs w:val="24"/>
              </w:rPr>
            </w:pPr>
          </w:p>
        </w:tc>
        <w:tc>
          <w:tcPr>
            <w:tcW w:w="7918" w:type="dxa"/>
          </w:tcPr>
          <w:p w14:paraId="3A72C6BD" w14:textId="202496E9" w:rsidR="00CE7013" w:rsidRPr="00920036" w:rsidRDefault="00CE7013" w:rsidP="008500E7">
            <w:pPr>
              <w:rPr>
                <w:rFonts w:ascii="Arial" w:hAnsi="Arial" w:cs="Arial"/>
                <w:sz w:val="24"/>
                <w:szCs w:val="24"/>
                <w:lang w:eastAsia="en-GB"/>
              </w:rPr>
            </w:pPr>
            <w:r w:rsidRPr="007D0CB1">
              <w:rPr>
                <w:rFonts w:ascii="Arial" w:hAnsi="Arial" w:cs="Arial"/>
                <w:sz w:val="24"/>
                <w:szCs w:val="24"/>
                <w:lang w:eastAsia="en-GB"/>
              </w:rPr>
              <w:t>MSc Professional Practice</w:t>
            </w:r>
          </w:p>
        </w:tc>
      </w:tr>
      <w:tr w:rsidR="00CE7013" w:rsidRPr="00920036" w14:paraId="7C22E308" w14:textId="77777777" w:rsidTr="008500E7">
        <w:trPr>
          <w:trHeight w:val="484"/>
        </w:trPr>
        <w:tc>
          <w:tcPr>
            <w:tcW w:w="2070" w:type="dxa"/>
            <w:vMerge/>
          </w:tcPr>
          <w:p w14:paraId="6D676F02" w14:textId="59EF8497" w:rsidR="00CE7013" w:rsidRPr="00920036" w:rsidRDefault="00CE7013" w:rsidP="008500E7">
            <w:pPr>
              <w:rPr>
                <w:rFonts w:ascii="Arial" w:hAnsi="Arial" w:cs="Arial"/>
                <w:sz w:val="24"/>
                <w:szCs w:val="24"/>
              </w:rPr>
            </w:pPr>
          </w:p>
        </w:tc>
        <w:tc>
          <w:tcPr>
            <w:tcW w:w="7918" w:type="dxa"/>
          </w:tcPr>
          <w:p w14:paraId="341A9DC2" w14:textId="668D8F4F" w:rsidR="00CE7013" w:rsidRPr="00920036" w:rsidRDefault="00CE7013" w:rsidP="008500E7">
            <w:pPr>
              <w:rPr>
                <w:rFonts w:ascii="Arial" w:hAnsi="Arial" w:cs="Arial"/>
                <w:sz w:val="24"/>
                <w:szCs w:val="24"/>
                <w:lang w:eastAsia="en-GB"/>
              </w:rPr>
            </w:pPr>
            <w:r w:rsidRPr="007D0CB1">
              <w:rPr>
                <w:rFonts w:ascii="Arial" w:hAnsi="Arial" w:cs="Arial"/>
                <w:sz w:val="24"/>
                <w:szCs w:val="24"/>
                <w:lang w:eastAsia="en-GB"/>
              </w:rPr>
              <w:t>MSc Medical Ultrasound</w:t>
            </w:r>
          </w:p>
        </w:tc>
      </w:tr>
      <w:tr w:rsidR="00CE7013" w:rsidRPr="00920036" w14:paraId="6B8F9C72" w14:textId="77777777" w:rsidTr="008500E7">
        <w:trPr>
          <w:trHeight w:val="500"/>
        </w:trPr>
        <w:tc>
          <w:tcPr>
            <w:tcW w:w="2070" w:type="dxa"/>
            <w:vMerge/>
          </w:tcPr>
          <w:p w14:paraId="616C95A7" w14:textId="42FA2401" w:rsidR="00CE7013" w:rsidRPr="00920036" w:rsidRDefault="00CE7013" w:rsidP="008500E7">
            <w:pPr>
              <w:rPr>
                <w:rFonts w:ascii="Arial" w:hAnsi="Arial" w:cs="Arial"/>
                <w:sz w:val="24"/>
                <w:szCs w:val="24"/>
              </w:rPr>
            </w:pPr>
          </w:p>
        </w:tc>
        <w:tc>
          <w:tcPr>
            <w:tcW w:w="7918" w:type="dxa"/>
          </w:tcPr>
          <w:p w14:paraId="1DB6094D" w14:textId="03A91ED1" w:rsidR="00CE7013" w:rsidRPr="00920036" w:rsidRDefault="00CE7013" w:rsidP="008500E7">
            <w:pPr>
              <w:rPr>
                <w:rFonts w:ascii="Arial" w:hAnsi="Arial" w:cs="Arial"/>
                <w:sz w:val="24"/>
                <w:szCs w:val="24"/>
                <w:lang w:eastAsia="en-GB"/>
              </w:rPr>
            </w:pPr>
            <w:proofErr w:type="spellStart"/>
            <w:r w:rsidRPr="007D0CB1">
              <w:rPr>
                <w:rFonts w:ascii="Arial" w:hAnsi="Arial" w:cs="Arial"/>
                <w:sz w:val="24"/>
                <w:szCs w:val="24"/>
                <w:lang w:eastAsia="en-GB"/>
              </w:rPr>
              <w:t>Masters</w:t>
            </w:r>
            <w:proofErr w:type="spellEnd"/>
            <w:r w:rsidRPr="007D0CB1">
              <w:rPr>
                <w:rFonts w:ascii="Arial" w:hAnsi="Arial" w:cs="Arial"/>
                <w:sz w:val="24"/>
                <w:szCs w:val="24"/>
                <w:lang w:eastAsia="en-GB"/>
              </w:rPr>
              <w:t xml:space="preserve"> in Public Health</w:t>
            </w:r>
          </w:p>
        </w:tc>
      </w:tr>
      <w:tr w:rsidR="00CE7013" w:rsidRPr="00920036" w14:paraId="6F213626" w14:textId="77777777" w:rsidTr="008500E7">
        <w:trPr>
          <w:trHeight w:val="500"/>
        </w:trPr>
        <w:tc>
          <w:tcPr>
            <w:tcW w:w="2070" w:type="dxa"/>
            <w:vMerge/>
          </w:tcPr>
          <w:p w14:paraId="7F71BA92" w14:textId="17FD12EB" w:rsidR="00CE7013" w:rsidRPr="00920036" w:rsidRDefault="00CE7013" w:rsidP="008500E7">
            <w:pPr>
              <w:rPr>
                <w:rFonts w:ascii="Arial" w:hAnsi="Arial" w:cs="Arial"/>
                <w:sz w:val="24"/>
                <w:szCs w:val="24"/>
              </w:rPr>
            </w:pPr>
          </w:p>
        </w:tc>
        <w:tc>
          <w:tcPr>
            <w:tcW w:w="7918" w:type="dxa"/>
          </w:tcPr>
          <w:p w14:paraId="490F684D" w14:textId="57D72ED8" w:rsidR="00CE7013" w:rsidRPr="00920036" w:rsidRDefault="00CE7013" w:rsidP="008500E7">
            <w:pPr>
              <w:rPr>
                <w:rFonts w:ascii="Arial" w:hAnsi="Arial" w:cs="Arial"/>
                <w:sz w:val="24"/>
                <w:szCs w:val="24"/>
                <w:lang w:eastAsia="en-GB"/>
              </w:rPr>
            </w:pPr>
            <w:r w:rsidRPr="007D0CB1">
              <w:rPr>
                <w:rFonts w:ascii="Arial" w:hAnsi="Arial" w:cs="Arial"/>
                <w:sz w:val="24"/>
                <w:szCs w:val="24"/>
                <w:lang w:eastAsia="en-GB"/>
              </w:rPr>
              <w:t>MSc Health Policy</w:t>
            </w:r>
          </w:p>
        </w:tc>
      </w:tr>
      <w:tr w:rsidR="00CE7013" w:rsidRPr="00920036" w14:paraId="0FA0D2A6" w14:textId="77777777" w:rsidTr="008500E7">
        <w:trPr>
          <w:trHeight w:val="234"/>
        </w:trPr>
        <w:tc>
          <w:tcPr>
            <w:tcW w:w="2070" w:type="dxa"/>
            <w:vMerge/>
          </w:tcPr>
          <w:p w14:paraId="68274A63" w14:textId="5ED8C6F7" w:rsidR="00CE7013" w:rsidRPr="00920036" w:rsidRDefault="00CE7013" w:rsidP="008500E7">
            <w:pPr>
              <w:rPr>
                <w:rFonts w:ascii="Arial" w:hAnsi="Arial" w:cs="Arial"/>
                <w:sz w:val="24"/>
                <w:szCs w:val="24"/>
              </w:rPr>
            </w:pPr>
          </w:p>
        </w:tc>
        <w:tc>
          <w:tcPr>
            <w:tcW w:w="7918" w:type="dxa"/>
          </w:tcPr>
          <w:p w14:paraId="465D9819" w14:textId="3BD057FC" w:rsidR="00CE7013" w:rsidRPr="00920036" w:rsidRDefault="00CE7013" w:rsidP="008500E7">
            <w:pPr>
              <w:rPr>
                <w:rFonts w:ascii="Arial" w:hAnsi="Arial" w:cs="Arial"/>
                <w:sz w:val="24"/>
                <w:szCs w:val="24"/>
                <w:lang w:eastAsia="en-GB"/>
              </w:rPr>
            </w:pPr>
            <w:r w:rsidRPr="007D0CB1">
              <w:rPr>
                <w:rFonts w:ascii="Arial" w:hAnsi="Arial" w:cs="Arial"/>
                <w:sz w:val="24"/>
                <w:szCs w:val="24"/>
                <w:lang w:eastAsia="en-GB"/>
              </w:rPr>
              <w:t>MSc Health Management</w:t>
            </w:r>
          </w:p>
        </w:tc>
      </w:tr>
      <w:tr w:rsidR="00CE7013" w:rsidRPr="00920036" w14:paraId="55E8E4DF" w14:textId="77777777" w:rsidTr="008500E7">
        <w:trPr>
          <w:trHeight w:val="500"/>
        </w:trPr>
        <w:tc>
          <w:tcPr>
            <w:tcW w:w="2070" w:type="dxa"/>
            <w:vMerge/>
          </w:tcPr>
          <w:p w14:paraId="27BDDC6F" w14:textId="6DBE4655" w:rsidR="00CE7013" w:rsidRPr="00920036" w:rsidRDefault="00CE7013" w:rsidP="008500E7">
            <w:pPr>
              <w:rPr>
                <w:rFonts w:ascii="Arial" w:hAnsi="Arial" w:cs="Arial"/>
                <w:sz w:val="24"/>
                <w:szCs w:val="24"/>
              </w:rPr>
            </w:pPr>
          </w:p>
        </w:tc>
        <w:tc>
          <w:tcPr>
            <w:tcW w:w="7918" w:type="dxa"/>
          </w:tcPr>
          <w:p w14:paraId="39BE55A8" w14:textId="1CA6D68B" w:rsidR="00CE7013" w:rsidRPr="00920036" w:rsidRDefault="00CE7013" w:rsidP="008500E7">
            <w:pPr>
              <w:rPr>
                <w:rFonts w:ascii="Arial" w:hAnsi="Arial" w:cs="Arial"/>
                <w:sz w:val="24"/>
                <w:szCs w:val="24"/>
              </w:rPr>
            </w:pPr>
            <w:r w:rsidRPr="007D0CB1">
              <w:rPr>
                <w:rFonts w:ascii="Arial" w:hAnsi="Arial" w:cs="Arial"/>
                <w:sz w:val="24"/>
                <w:szCs w:val="24"/>
              </w:rPr>
              <w:t>MSc Enhanced Midwifery Care</w:t>
            </w:r>
          </w:p>
        </w:tc>
      </w:tr>
      <w:tr w:rsidR="00CE7013" w:rsidRPr="00920036" w14:paraId="05C072D9" w14:textId="77777777" w:rsidTr="008500E7">
        <w:trPr>
          <w:trHeight w:val="985"/>
        </w:trPr>
        <w:tc>
          <w:tcPr>
            <w:tcW w:w="2070" w:type="dxa"/>
            <w:vMerge/>
          </w:tcPr>
          <w:p w14:paraId="62A12CDB" w14:textId="70C0ECE8" w:rsidR="00CE7013" w:rsidRPr="00920036" w:rsidRDefault="00CE7013" w:rsidP="008500E7">
            <w:pPr>
              <w:rPr>
                <w:rFonts w:ascii="Arial" w:hAnsi="Arial" w:cs="Arial"/>
                <w:sz w:val="24"/>
                <w:szCs w:val="24"/>
              </w:rPr>
            </w:pPr>
          </w:p>
        </w:tc>
        <w:tc>
          <w:tcPr>
            <w:tcW w:w="7918" w:type="dxa"/>
          </w:tcPr>
          <w:p w14:paraId="5C42B256" w14:textId="41D19887" w:rsidR="00CE7013" w:rsidRPr="00920036" w:rsidRDefault="00CE7013" w:rsidP="008500E7">
            <w:pPr>
              <w:rPr>
                <w:rFonts w:ascii="Arial" w:hAnsi="Arial" w:cs="Arial"/>
                <w:sz w:val="24"/>
                <w:szCs w:val="24"/>
                <w:lang w:eastAsia="en-GB"/>
              </w:rPr>
            </w:pPr>
            <w:r w:rsidRPr="007D0CB1">
              <w:rPr>
                <w:rFonts w:ascii="Arial" w:hAnsi="Arial" w:cs="Arial"/>
                <w:sz w:val="24"/>
                <w:szCs w:val="24"/>
                <w:lang w:eastAsia="en-GB"/>
              </w:rPr>
              <w:t>MSc in Speech Language and Communication (Advanced Studies)</w:t>
            </w:r>
          </w:p>
        </w:tc>
      </w:tr>
    </w:tbl>
    <w:p w14:paraId="5D8CA94A" w14:textId="77777777" w:rsidR="00FB004B" w:rsidRDefault="00FB004B" w:rsidP="00857896">
      <w:pPr>
        <w:rPr>
          <w:rFonts w:ascii="Arial" w:hAnsi="Arial" w:cs="Arial"/>
          <w:sz w:val="24"/>
          <w:szCs w:val="24"/>
        </w:rPr>
      </w:pPr>
    </w:p>
    <w:p w14:paraId="66624CD7" w14:textId="77777777" w:rsidR="00FB004B" w:rsidRDefault="00FB004B" w:rsidP="00857896">
      <w:pPr>
        <w:rPr>
          <w:rFonts w:ascii="Arial" w:hAnsi="Arial" w:cs="Arial"/>
          <w:sz w:val="24"/>
          <w:szCs w:val="24"/>
        </w:rPr>
      </w:pPr>
    </w:p>
    <w:p w14:paraId="5596609E" w14:textId="77777777" w:rsidR="00FB004B" w:rsidRDefault="00FB004B" w:rsidP="00857896">
      <w:pPr>
        <w:rPr>
          <w:rFonts w:ascii="Arial" w:hAnsi="Arial" w:cs="Arial"/>
          <w:sz w:val="24"/>
          <w:szCs w:val="24"/>
        </w:rPr>
      </w:pPr>
    </w:p>
    <w:p w14:paraId="0DBB4783" w14:textId="642AB609" w:rsidR="00BF60DC" w:rsidRPr="00920036" w:rsidRDefault="00BF60DC" w:rsidP="00857896">
      <w:pPr>
        <w:rPr>
          <w:rFonts w:ascii="Arial" w:hAnsi="Arial" w:cs="Arial"/>
          <w:sz w:val="24"/>
          <w:szCs w:val="24"/>
        </w:rPr>
      </w:pPr>
      <w:r w:rsidRPr="00920036">
        <w:rPr>
          <w:rFonts w:ascii="Arial" w:hAnsi="Arial" w:cs="Arial"/>
          <w:sz w:val="24"/>
          <w:szCs w:val="24"/>
        </w:rPr>
        <w:t>The main reflections are as follows:</w:t>
      </w:r>
    </w:p>
    <w:p w14:paraId="2D1A1E42" w14:textId="76C6B25C" w:rsidR="00BF60DC" w:rsidRDefault="007D0CB1" w:rsidP="009A464E">
      <w:pPr>
        <w:pStyle w:val="ListParagraph"/>
        <w:numPr>
          <w:ilvl w:val="0"/>
          <w:numId w:val="30"/>
        </w:numPr>
        <w:rPr>
          <w:rFonts w:ascii="Arial" w:hAnsi="Arial" w:cs="Arial"/>
          <w:sz w:val="24"/>
          <w:szCs w:val="24"/>
        </w:rPr>
      </w:pPr>
      <w:r>
        <w:rPr>
          <w:rFonts w:ascii="Arial" w:hAnsi="Arial" w:cs="Arial"/>
          <w:sz w:val="24"/>
          <w:szCs w:val="24"/>
        </w:rPr>
        <w:t>23</w:t>
      </w:r>
      <w:r w:rsidR="00BF60DC" w:rsidRPr="00920036">
        <w:rPr>
          <w:rFonts w:ascii="Arial" w:hAnsi="Arial" w:cs="Arial"/>
          <w:sz w:val="24"/>
          <w:szCs w:val="24"/>
        </w:rPr>
        <w:t xml:space="preserve"> major amendments were proposed</w:t>
      </w:r>
      <w:r w:rsidR="0070738C" w:rsidRPr="00920036">
        <w:rPr>
          <w:rFonts w:ascii="Arial" w:hAnsi="Arial" w:cs="Arial"/>
          <w:sz w:val="24"/>
          <w:szCs w:val="24"/>
        </w:rPr>
        <w:t xml:space="preserve"> (up from </w:t>
      </w:r>
      <w:r>
        <w:rPr>
          <w:rFonts w:ascii="Arial" w:hAnsi="Arial" w:cs="Arial"/>
          <w:sz w:val="24"/>
          <w:szCs w:val="24"/>
        </w:rPr>
        <w:t>12</w:t>
      </w:r>
      <w:r w:rsidR="0070738C" w:rsidRPr="00920036">
        <w:rPr>
          <w:rFonts w:ascii="Arial" w:hAnsi="Arial" w:cs="Arial"/>
          <w:sz w:val="24"/>
          <w:szCs w:val="24"/>
        </w:rPr>
        <w:t xml:space="preserve"> in 201</w:t>
      </w:r>
      <w:r>
        <w:rPr>
          <w:rFonts w:ascii="Arial" w:hAnsi="Arial" w:cs="Arial"/>
          <w:sz w:val="24"/>
          <w:szCs w:val="24"/>
        </w:rPr>
        <w:t>9</w:t>
      </w:r>
      <w:r w:rsidR="0070738C" w:rsidRPr="00920036">
        <w:rPr>
          <w:rFonts w:ascii="Arial" w:hAnsi="Arial" w:cs="Arial"/>
          <w:sz w:val="24"/>
          <w:szCs w:val="24"/>
        </w:rPr>
        <w:t>/</w:t>
      </w:r>
      <w:r>
        <w:rPr>
          <w:rFonts w:ascii="Arial" w:hAnsi="Arial" w:cs="Arial"/>
          <w:sz w:val="24"/>
          <w:szCs w:val="24"/>
        </w:rPr>
        <w:t>20</w:t>
      </w:r>
      <w:r w:rsidR="0070738C" w:rsidRPr="00920036">
        <w:rPr>
          <w:rFonts w:ascii="Arial" w:hAnsi="Arial" w:cs="Arial"/>
          <w:sz w:val="24"/>
          <w:szCs w:val="24"/>
        </w:rPr>
        <w:t>)</w:t>
      </w:r>
      <w:r w:rsidR="00BF60DC" w:rsidRPr="00920036">
        <w:rPr>
          <w:rFonts w:ascii="Arial" w:hAnsi="Arial" w:cs="Arial"/>
          <w:sz w:val="24"/>
          <w:szCs w:val="24"/>
        </w:rPr>
        <w:t xml:space="preserve"> and all were approved subject to satisfying some minor conditions and/or recommendations.</w:t>
      </w:r>
    </w:p>
    <w:p w14:paraId="3FB5714D" w14:textId="4F3E5E13" w:rsidR="007D0CB1" w:rsidRPr="00920036" w:rsidRDefault="007D0CB1" w:rsidP="009A464E">
      <w:pPr>
        <w:pStyle w:val="ListParagraph"/>
        <w:numPr>
          <w:ilvl w:val="0"/>
          <w:numId w:val="30"/>
        </w:numPr>
        <w:rPr>
          <w:rFonts w:ascii="Arial" w:hAnsi="Arial" w:cs="Arial"/>
          <w:sz w:val="24"/>
          <w:szCs w:val="24"/>
        </w:rPr>
      </w:pPr>
      <w:r>
        <w:rPr>
          <w:rFonts w:ascii="Arial" w:hAnsi="Arial" w:cs="Arial"/>
          <w:sz w:val="24"/>
          <w:szCs w:val="24"/>
        </w:rPr>
        <w:t>It is clear that the relatively new (2019/20) major amendment process is reducing the number of UPAC Stage 1 submissions which was previously the only method to approve substantial amendments. This means that a more appropriate level of scrutiny can be applied, amendments are approved in a more timely fashion and colleagues save time.</w:t>
      </w:r>
    </w:p>
    <w:p w14:paraId="1C5B7D3C" w14:textId="77777777" w:rsidR="00BF60DC" w:rsidRPr="00920036" w:rsidRDefault="00BF60DC" w:rsidP="009A464E">
      <w:pPr>
        <w:pStyle w:val="ListParagraph"/>
        <w:numPr>
          <w:ilvl w:val="0"/>
          <w:numId w:val="30"/>
        </w:numPr>
        <w:rPr>
          <w:rFonts w:ascii="Arial" w:hAnsi="Arial" w:cs="Arial"/>
          <w:sz w:val="24"/>
          <w:szCs w:val="24"/>
        </w:rPr>
      </w:pPr>
      <w:r w:rsidRPr="00920036">
        <w:rPr>
          <w:rFonts w:ascii="Arial" w:hAnsi="Arial" w:cs="Arial"/>
          <w:sz w:val="24"/>
          <w:szCs w:val="24"/>
        </w:rPr>
        <w:t xml:space="preserve">Common conditions/recommendations included (similar to UPAC), correction of typos, submission of approval by Professional Services (usually Library, Finance and Marketing) and reviewing content of module specs including information on assessments and </w:t>
      </w:r>
      <w:proofErr w:type="spellStart"/>
      <w:r w:rsidRPr="00920036">
        <w:rPr>
          <w:rFonts w:ascii="Arial" w:hAnsi="Arial" w:cs="Arial"/>
          <w:sz w:val="24"/>
          <w:szCs w:val="24"/>
        </w:rPr>
        <w:t>HECoS</w:t>
      </w:r>
      <w:proofErr w:type="spellEnd"/>
      <w:r w:rsidRPr="00920036">
        <w:rPr>
          <w:rFonts w:ascii="Arial" w:hAnsi="Arial" w:cs="Arial"/>
          <w:sz w:val="24"/>
          <w:szCs w:val="24"/>
        </w:rPr>
        <w:t xml:space="preserve"> Codes.</w:t>
      </w:r>
    </w:p>
    <w:p w14:paraId="7D862B31" w14:textId="783D8A2D" w:rsidR="00BF60DC" w:rsidRPr="00920036" w:rsidRDefault="00BF60DC" w:rsidP="009A464E">
      <w:pPr>
        <w:pStyle w:val="ListParagraph"/>
        <w:numPr>
          <w:ilvl w:val="0"/>
          <w:numId w:val="30"/>
        </w:numPr>
        <w:rPr>
          <w:rFonts w:ascii="Arial" w:hAnsi="Arial" w:cs="Arial"/>
          <w:sz w:val="24"/>
          <w:szCs w:val="24"/>
        </w:rPr>
      </w:pPr>
      <w:r w:rsidRPr="00920036">
        <w:rPr>
          <w:rFonts w:ascii="Arial" w:hAnsi="Arial" w:cs="Arial"/>
          <w:sz w:val="24"/>
          <w:szCs w:val="24"/>
        </w:rPr>
        <w:t xml:space="preserve">Amendments included changing award titles, adding new </w:t>
      </w:r>
      <w:r w:rsidR="002F0119">
        <w:rPr>
          <w:rFonts w:ascii="Arial" w:hAnsi="Arial" w:cs="Arial"/>
          <w:sz w:val="24"/>
          <w:szCs w:val="24"/>
        </w:rPr>
        <w:t xml:space="preserve">intake dates, moving programmes wholly or partly online (after positive feedback during lockdown), </w:t>
      </w:r>
      <w:r w:rsidRPr="00920036">
        <w:rPr>
          <w:rFonts w:ascii="Arial" w:hAnsi="Arial" w:cs="Arial"/>
          <w:sz w:val="24"/>
          <w:szCs w:val="24"/>
        </w:rPr>
        <w:t>addition of new modes of delivery</w:t>
      </w:r>
      <w:r w:rsidR="002B4A30" w:rsidRPr="00920036">
        <w:rPr>
          <w:rFonts w:ascii="Arial" w:hAnsi="Arial" w:cs="Arial"/>
          <w:sz w:val="24"/>
          <w:szCs w:val="24"/>
        </w:rPr>
        <w:t xml:space="preserve"> to existing programmes, and approval of cumulative change to a significant part of the programme (but no change to learning outcomes). </w:t>
      </w:r>
    </w:p>
    <w:p w14:paraId="3C070835" w14:textId="77777777" w:rsidR="00920036" w:rsidRPr="00920036" w:rsidRDefault="00920036" w:rsidP="00920036">
      <w:pPr>
        <w:pStyle w:val="ListParagraph"/>
        <w:rPr>
          <w:rFonts w:ascii="Arial" w:hAnsi="Arial" w:cs="Arial"/>
          <w:b/>
          <w:i/>
          <w:sz w:val="24"/>
          <w:szCs w:val="24"/>
        </w:rPr>
      </w:pPr>
    </w:p>
    <w:p w14:paraId="1ED58209" w14:textId="681EFF36" w:rsidR="007B3A18" w:rsidRPr="00B651A8" w:rsidRDefault="00B459F0" w:rsidP="00B459F0">
      <w:pPr>
        <w:pStyle w:val="ListParagraph"/>
        <w:numPr>
          <w:ilvl w:val="0"/>
          <w:numId w:val="20"/>
        </w:numPr>
        <w:spacing w:after="0" w:line="240" w:lineRule="auto"/>
        <w:rPr>
          <w:rFonts w:ascii="Arial" w:eastAsia="Times New Roman" w:hAnsi="Arial" w:cs="Arial"/>
          <w:b/>
          <w:sz w:val="24"/>
          <w:szCs w:val="24"/>
          <w:lang w:eastAsia="en-GB"/>
        </w:rPr>
      </w:pPr>
      <w:r w:rsidRPr="00B651A8">
        <w:rPr>
          <w:rFonts w:ascii="Arial" w:eastAsia="Times New Roman" w:hAnsi="Arial" w:cs="Arial"/>
          <w:b/>
          <w:sz w:val="24"/>
          <w:szCs w:val="24"/>
          <w:lang w:eastAsia="en-GB"/>
        </w:rPr>
        <w:lastRenderedPageBreak/>
        <w:t xml:space="preserve">School Programme Approval and Review Committees </w:t>
      </w:r>
      <w:r w:rsidR="007B3A18" w:rsidRPr="00B651A8">
        <w:rPr>
          <w:rFonts w:ascii="Arial" w:hAnsi="Arial" w:cs="Arial"/>
          <w:b/>
          <w:sz w:val="24"/>
          <w:szCs w:val="24"/>
        </w:rPr>
        <w:t>(Minor) Amendments</w:t>
      </w:r>
      <w:r w:rsidR="00BD33A5" w:rsidRPr="00B651A8">
        <w:rPr>
          <w:rFonts w:ascii="Arial" w:hAnsi="Arial" w:cs="Arial"/>
          <w:b/>
          <w:sz w:val="24"/>
          <w:szCs w:val="24"/>
        </w:rPr>
        <w:t xml:space="preserve"> &amp; Programme</w:t>
      </w:r>
      <w:r w:rsidR="009A464E">
        <w:rPr>
          <w:rFonts w:ascii="Arial" w:hAnsi="Arial" w:cs="Arial"/>
          <w:b/>
          <w:sz w:val="24"/>
          <w:szCs w:val="24"/>
        </w:rPr>
        <w:t xml:space="preserve"> Re-design</w:t>
      </w:r>
      <w:r w:rsidR="00BD33A5" w:rsidRPr="00B651A8">
        <w:rPr>
          <w:rFonts w:ascii="Arial" w:hAnsi="Arial" w:cs="Arial"/>
          <w:b/>
          <w:sz w:val="24"/>
          <w:szCs w:val="24"/>
        </w:rPr>
        <w:t xml:space="preserve"> 2020/21</w:t>
      </w:r>
    </w:p>
    <w:p w14:paraId="201C9B63" w14:textId="3E8D2743" w:rsidR="00B459F0" w:rsidRDefault="00B459F0" w:rsidP="00B459F0">
      <w:pPr>
        <w:pStyle w:val="ListParagraph"/>
        <w:spacing w:after="0" w:line="240" w:lineRule="auto"/>
        <w:rPr>
          <w:rFonts w:ascii="Arial" w:eastAsia="Times New Roman" w:hAnsi="Arial" w:cs="Arial"/>
          <w:b/>
          <w:sz w:val="24"/>
          <w:szCs w:val="24"/>
          <w:lang w:eastAsia="en-GB"/>
        </w:rPr>
      </w:pPr>
    </w:p>
    <w:p w14:paraId="48281C5E" w14:textId="5D57977F" w:rsidR="009A464E" w:rsidRDefault="009A464E" w:rsidP="009A464E">
      <w:pPr>
        <w:pStyle w:val="ListParagraph"/>
        <w:numPr>
          <w:ilvl w:val="0"/>
          <w:numId w:val="31"/>
        </w:num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Minor (PARC) Amendments</w:t>
      </w:r>
    </w:p>
    <w:p w14:paraId="045BC838" w14:textId="77777777" w:rsidR="009A464E" w:rsidRPr="00920036" w:rsidRDefault="009A464E" w:rsidP="009A464E">
      <w:pPr>
        <w:pStyle w:val="ListParagraph"/>
        <w:spacing w:after="0" w:line="240" w:lineRule="auto"/>
        <w:rPr>
          <w:rFonts w:ascii="Arial" w:eastAsia="Times New Roman" w:hAnsi="Arial" w:cs="Arial"/>
          <w:b/>
          <w:sz w:val="24"/>
          <w:szCs w:val="24"/>
          <w:lang w:eastAsia="en-GB"/>
        </w:rPr>
      </w:pPr>
    </w:p>
    <w:p w14:paraId="0CE706FF" w14:textId="722D19E5" w:rsidR="00EE053E" w:rsidRDefault="00EE053E" w:rsidP="00B459F0">
      <w:pPr>
        <w:pStyle w:val="ListParagraph"/>
        <w:spacing w:after="0" w:line="240" w:lineRule="auto"/>
        <w:ind w:left="0"/>
        <w:rPr>
          <w:rFonts w:ascii="Arial" w:hAnsi="Arial" w:cs="Arial"/>
          <w:sz w:val="24"/>
          <w:szCs w:val="24"/>
        </w:rPr>
      </w:pPr>
      <w:r>
        <w:rPr>
          <w:rFonts w:ascii="Arial" w:hAnsi="Arial" w:cs="Arial"/>
          <w:sz w:val="24"/>
          <w:szCs w:val="24"/>
        </w:rPr>
        <w:t xml:space="preserve">In April 2021, it was decided that due to the volume of anticipated amendments and the ongoing need to mitigate the effects of COVID-19 on City’s educational delivery the programme re-design spreadsheets used in 2019/20 would be used once again. This allowed Schools to submit changes in bulk, QUAD to approve in bulk and it assisted IT in updating SITS. SASS decided that it would rather continue with the business as usual minor amendment process and a number of amendment forms from all Schools had been received prior to this decision. QUAD processed all forms that had been received. </w:t>
      </w:r>
    </w:p>
    <w:p w14:paraId="3689AD5C" w14:textId="77777777" w:rsidR="00EE053E" w:rsidRDefault="00EE053E" w:rsidP="00B459F0">
      <w:pPr>
        <w:pStyle w:val="ListParagraph"/>
        <w:spacing w:after="0" w:line="240" w:lineRule="auto"/>
        <w:ind w:left="0"/>
        <w:rPr>
          <w:rFonts w:ascii="Arial" w:hAnsi="Arial" w:cs="Arial"/>
          <w:sz w:val="24"/>
          <w:szCs w:val="24"/>
        </w:rPr>
      </w:pPr>
    </w:p>
    <w:p w14:paraId="49E7FF5A" w14:textId="2165A192" w:rsidR="00B459F0" w:rsidRPr="00920036" w:rsidRDefault="00B459F0" w:rsidP="00B459F0">
      <w:pPr>
        <w:pStyle w:val="ListParagraph"/>
        <w:spacing w:after="0" w:line="240" w:lineRule="auto"/>
        <w:ind w:left="0"/>
        <w:rPr>
          <w:rFonts w:ascii="Arial" w:hAnsi="Arial" w:cs="Arial"/>
          <w:sz w:val="24"/>
          <w:szCs w:val="24"/>
        </w:rPr>
      </w:pPr>
      <w:r w:rsidRPr="00920036">
        <w:rPr>
          <w:rFonts w:ascii="Arial" w:hAnsi="Arial" w:cs="Arial"/>
          <w:sz w:val="24"/>
          <w:szCs w:val="24"/>
        </w:rPr>
        <w:t>There were</w:t>
      </w:r>
      <w:r w:rsidR="007807D4">
        <w:rPr>
          <w:rFonts w:ascii="Arial" w:hAnsi="Arial" w:cs="Arial"/>
          <w:sz w:val="24"/>
          <w:szCs w:val="24"/>
        </w:rPr>
        <w:t xml:space="preserve"> 11</w:t>
      </w:r>
      <w:r w:rsidR="00193AEC">
        <w:rPr>
          <w:rFonts w:ascii="Arial" w:hAnsi="Arial" w:cs="Arial"/>
          <w:sz w:val="24"/>
          <w:szCs w:val="24"/>
        </w:rPr>
        <w:t>5</w:t>
      </w:r>
      <w:r w:rsidRPr="00920036">
        <w:rPr>
          <w:rFonts w:ascii="Arial" w:hAnsi="Arial" w:cs="Arial"/>
          <w:sz w:val="24"/>
          <w:szCs w:val="24"/>
        </w:rPr>
        <w:t xml:space="preserve"> minor amendment forms submitted for 202</w:t>
      </w:r>
      <w:r w:rsidR="007807D4">
        <w:rPr>
          <w:rFonts w:ascii="Arial" w:hAnsi="Arial" w:cs="Arial"/>
          <w:sz w:val="24"/>
          <w:szCs w:val="24"/>
        </w:rPr>
        <w:t>1/22</w:t>
      </w:r>
      <w:r w:rsidRPr="00920036">
        <w:rPr>
          <w:rFonts w:ascii="Arial" w:hAnsi="Arial" w:cs="Arial"/>
          <w:sz w:val="24"/>
          <w:szCs w:val="24"/>
        </w:rPr>
        <w:t xml:space="preserve">. </w:t>
      </w:r>
      <w:r w:rsidR="00193AEC">
        <w:rPr>
          <w:rFonts w:ascii="Arial" w:hAnsi="Arial" w:cs="Arial"/>
          <w:sz w:val="24"/>
          <w:szCs w:val="24"/>
        </w:rPr>
        <w:t>Similarly</w:t>
      </w:r>
      <w:r w:rsidRPr="00920036">
        <w:rPr>
          <w:rFonts w:ascii="Arial" w:hAnsi="Arial" w:cs="Arial"/>
          <w:sz w:val="24"/>
          <w:szCs w:val="24"/>
        </w:rPr>
        <w:t>,</w:t>
      </w:r>
      <w:r w:rsidR="007807D4">
        <w:rPr>
          <w:rFonts w:ascii="Arial" w:hAnsi="Arial" w:cs="Arial"/>
          <w:sz w:val="24"/>
          <w:szCs w:val="24"/>
        </w:rPr>
        <w:t xml:space="preserve"> 115</w:t>
      </w:r>
      <w:r w:rsidRPr="00920036">
        <w:rPr>
          <w:rFonts w:ascii="Arial" w:hAnsi="Arial" w:cs="Arial"/>
          <w:sz w:val="24"/>
          <w:szCs w:val="24"/>
        </w:rPr>
        <w:t xml:space="preserve"> forms were received for 20</w:t>
      </w:r>
      <w:r w:rsidR="007807D4">
        <w:rPr>
          <w:rFonts w:ascii="Arial" w:hAnsi="Arial" w:cs="Arial"/>
          <w:sz w:val="24"/>
          <w:szCs w:val="24"/>
        </w:rPr>
        <w:t>20/21</w:t>
      </w:r>
      <w:r w:rsidRPr="00920036">
        <w:rPr>
          <w:rFonts w:ascii="Arial" w:hAnsi="Arial" w:cs="Arial"/>
          <w:sz w:val="24"/>
          <w:szCs w:val="24"/>
        </w:rPr>
        <w:t xml:space="preserve"> academic year. Please see the table below for each school’s submission.</w:t>
      </w:r>
    </w:p>
    <w:p w14:paraId="568698A0" w14:textId="77777777" w:rsidR="00B459F0" w:rsidRPr="00920036" w:rsidRDefault="00B459F0" w:rsidP="00B459F0">
      <w:pPr>
        <w:pStyle w:val="ListParagraph"/>
        <w:spacing w:after="0" w:line="240" w:lineRule="auto"/>
        <w:ind w:left="0"/>
        <w:rPr>
          <w:rFonts w:ascii="Arial" w:hAnsi="Arial" w:cs="Arial"/>
          <w:sz w:val="24"/>
          <w:szCs w:val="24"/>
        </w:rPr>
      </w:pPr>
    </w:p>
    <w:tbl>
      <w:tblPr>
        <w:tblStyle w:val="TableGrid"/>
        <w:tblW w:w="9475" w:type="dxa"/>
        <w:tblInd w:w="-5" w:type="dxa"/>
        <w:tblLook w:val="04A0" w:firstRow="1" w:lastRow="0" w:firstColumn="1" w:lastColumn="0" w:noHBand="0" w:noVBand="1"/>
      </w:tblPr>
      <w:tblGrid>
        <w:gridCol w:w="3447"/>
        <w:gridCol w:w="2582"/>
        <w:gridCol w:w="1726"/>
        <w:gridCol w:w="1720"/>
      </w:tblGrid>
      <w:tr w:rsidR="007807D4" w:rsidRPr="00920036" w14:paraId="7D1D7C8D" w14:textId="77777777" w:rsidTr="00CE7013">
        <w:trPr>
          <w:trHeight w:val="544"/>
        </w:trPr>
        <w:tc>
          <w:tcPr>
            <w:tcW w:w="3447"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643C0599" w14:textId="77777777" w:rsidR="007807D4" w:rsidRPr="00920036" w:rsidRDefault="007807D4" w:rsidP="002022A9">
            <w:pPr>
              <w:rPr>
                <w:rFonts w:ascii="Arial" w:hAnsi="Arial" w:cs="Arial"/>
                <w:b/>
                <w:sz w:val="24"/>
                <w:szCs w:val="24"/>
              </w:rPr>
            </w:pPr>
            <w:r w:rsidRPr="00920036">
              <w:rPr>
                <w:rFonts w:ascii="Arial" w:hAnsi="Arial" w:cs="Arial"/>
                <w:b/>
                <w:sz w:val="24"/>
                <w:szCs w:val="24"/>
              </w:rPr>
              <w:t>School/Department:</w:t>
            </w:r>
          </w:p>
        </w:tc>
        <w:tc>
          <w:tcPr>
            <w:tcW w:w="258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6DAF999E" w14:textId="1E57E187" w:rsidR="007807D4" w:rsidRPr="00920036" w:rsidRDefault="007807D4" w:rsidP="002022A9">
            <w:pPr>
              <w:rPr>
                <w:rFonts w:ascii="Arial" w:hAnsi="Arial" w:cs="Arial"/>
                <w:b/>
                <w:sz w:val="24"/>
                <w:szCs w:val="24"/>
              </w:rPr>
            </w:pPr>
            <w:r w:rsidRPr="00920036">
              <w:rPr>
                <w:rFonts w:ascii="Arial" w:hAnsi="Arial" w:cs="Arial"/>
                <w:b/>
                <w:sz w:val="24"/>
                <w:szCs w:val="24"/>
              </w:rPr>
              <w:t>Total amendments</w:t>
            </w:r>
            <w:r>
              <w:rPr>
                <w:rFonts w:ascii="Arial" w:hAnsi="Arial" w:cs="Arial"/>
                <w:b/>
                <w:sz w:val="24"/>
                <w:szCs w:val="24"/>
              </w:rPr>
              <w:t>*</w:t>
            </w:r>
            <w:r w:rsidRPr="00920036">
              <w:rPr>
                <w:rFonts w:ascii="Arial" w:hAnsi="Arial" w:cs="Arial"/>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4A536D7" w14:textId="666920FC" w:rsidR="007807D4" w:rsidRPr="00920036" w:rsidRDefault="007807D4" w:rsidP="002022A9">
            <w:pPr>
              <w:rPr>
                <w:rFonts w:ascii="Arial" w:hAnsi="Arial" w:cs="Arial"/>
                <w:b/>
                <w:sz w:val="24"/>
                <w:szCs w:val="24"/>
              </w:rPr>
            </w:pPr>
            <w:r w:rsidRPr="00920036">
              <w:rPr>
                <w:rFonts w:ascii="Arial" w:hAnsi="Arial" w:cs="Arial"/>
                <w:b/>
                <w:sz w:val="24"/>
                <w:szCs w:val="24"/>
              </w:rPr>
              <w:t>UG:</w:t>
            </w:r>
          </w:p>
        </w:tc>
        <w:tc>
          <w:tcPr>
            <w:tcW w:w="172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1359412" w14:textId="2F945374" w:rsidR="007807D4" w:rsidRPr="00920036" w:rsidRDefault="007807D4" w:rsidP="002022A9">
            <w:pPr>
              <w:rPr>
                <w:rFonts w:ascii="Arial" w:hAnsi="Arial" w:cs="Arial"/>
                <w:b/>
                <w:sz w:val="24"/>
                <w:szCs w:val="24"/>
              </w:rPr>
            </w:pPr>
            <w:r w:rsidRPr="00920036">
              <w:rPr>
                <w:rFonts w:ascii="Arial" w:hAnsi="Arial" w:cs="Arial"/>
                <w:b/>
                <w:sz w:val="24"/>
                <w:szCs w:val="24"/>
              </w:rPr>
              <w:t>PG:</w:t>
            </w:r>
          </w:p>
        </w:tc>
      </w:tr>
      <w:tr w:rsidR="007807D4" w:rsidRPr="00920036" w14:paraId="62B2FF07" w14:textId="77777777" w:rsidTr="00CE7013">
        <w:trPr>
          <w:trHeight w:val="283"/>
        </w:trPr>
        <w:tc>
          <w:tcPr>
            <w:tcW w:w="3447" w:type="dxa"/>
            <w:tcBorders>
              <w:top w:val="single" w:sz="4" w:space="0" w:color="auto"/>
              <w:left w:val="single" w:sz="4" w:space="0" w:color="auto"/>
              <w:bottom w:val="single" w:sz="4" w:space="0" w:color="auto"/>
              <w:right w:val="single" w:sz="4" w:space="0" w:color="auto"/>
            </w:tcBorders>
            <w:hideMark/>
          </w:tcPr>
          <w:p w14:paraId="6F402FE5" w14:textId="77777777" w:rsidR="007807D4" w:rsidRPr="00920036" w:rsidRDefault="007807D4" w:rsidP="002022A9">
            <w:pPr>
              <w:rPr>
                <w:rFonts w:ascii="Arial" w:hAnsi="Arial" w:cs="Arial"/>
                <w:sz w:val="24"/>
                <w:szCs w:val="24"/>
              </w:rPr>
            </w:pPr>
            <w:r w:rsidRPr="00920036">
              <w:rPr>
                <w:rFonts w:ascii="Arial" w:hAnsi="Arial" w:cs="Arial"/>
                <w:sz w:val="24"/>
                <w:szCs w:val="24"/>
              </w:rPr>
              <w:t>SMCSE</w:t>
            </w:r>
          </w:p>
        </w:tc>
        <w:tc>
          <w:tcPr>
            <w:tcW w:w="2582" w:type="dxa"/>
            <w:tcBorders>
              <w:top w:val="single" w:sz="4" w:space="0" w:color="auto"/>
              <w:left w:val="single" w:sz="4" w:space="0" w:color="auto"/>
              <w:bottom w:val="single" w:sz="4" w:space="0" w:color="auto"/>
              <w:right w:val="single" w:sz="4" w:space="0" w:color="auto"/>
            </w:tcBorders>
            <w:hideMark/>
          </w:tcPr>
          <w:p w14:paraId="0C7A5C01" w14:textId="28C45439" w:rsidR="007807D4" w:rsidRPr="00920036" w:rsidRDefault="007807D4" w:rsidP="002022A9">
            <w:pPr>
              <w:jc w:val="right"/>
              <w:rPr>
                <w:rFonts w:ascii="Arial" w:hAnsi="Arial" w:cs="Arial"/>
                <w:sz w:val="24"/>
                <w:szCs w:val="24"/>
              </w:rPr>
            </w:pPr>
            <w:r>
              <w:rPr>
                <w:rFonts w:ascii="Arial" w:hAnsi="Arial" w:cs="Arial"/>
                <w:sz w:val="24"/>
                <w:szCs w:val="24"/>
              </w:rPr>
              <w:t>38</w:t>
            </w:r>
          </w:p>
        </w:tc>
        <w:tc>
          <w:tcPr>
            <w:tcW w:w="1726" w:type="dxa"/>
            <w:tcBorders>
              <w:top w:val="single" w:sz="4" w:space="0" w:color="auto"/>
              <w:left w:val="single" w:sz="4" w:space="0" w:color="auto"/>
              <w:bottom w:val="single" w:sz="4" w:space="0" w:color="auto"/>
              <w:right w:val="single" w:sz="4" w:space="0" w:color="auto"/>
            </w:tcBorders>
            <w:hideMark/>
          </w:tcPr>
          <w:p w14:paraId="4D2856EC" w14:textId="5362CB1C" w:rsidR="007807D4" w:rsidRPr="00920036" w:rsidRDefault="007807D4" w:rsidP="002022A9">
            <w:pPr>
              <w:jc w:val="right"/>
              <w:rPr>
                <w:rFonts w:ascii="Arial" w:hAnsi="Arial" w:cs="Arial"/>
                <w:sz w:val="24"/>
                <w:szCs w:val="24"/>
              </w:rPr>
            </w:pPr>
            <w:r w:rsidRPr="00920036">
              <w:rPr>
                <w:rFonts w:ascii="Arial" w:hAnsi="Arial" w:cs="Arial"/>
                <w:sz w:val="24"/>
                <w:szCs w:val="24"/>
              </w:rPr>
              <w:t>1</w:t>
            </w:r>
            <w:r>
              <w:rPr>
                <w:rFonts w:ascii="Arial" w:hAnsi="Arial" w:cs="Arial"/>
                <w:sz w:val="24"/>
                <w:szCs w:val="24"/>
              </w:rPr>
              <w:t>5</w:t>
            </w:r>
          </w:p>
        </w:tc>
        <w:tc>
          <w:tcPr>
            <w:tcW w:w="1720" w:type="dxa"/>
            <w:tcBorders>
              <w:top w:val="single" w:sz="4" w:space="0" w:color="auto"/>
              <w:left w:val="single" w:sz="4" w:space="0" w:color="auto"/>
              <w:bottom w:val="single" w:sz="4" w:space="0" w:color="auto"/>
              <w:right w:val="single" w:sz="4" w:space="0" w:color="auto"/>
            </w:tcBorders>
            <w:hideMark/>
          </w:tcPr>
          <w:p w14:paraId="1F9B7D4B" w14:textId="3A44B906" w:rsidR="007807D4" w:rsidRPr="00920036" w:rsidRDefault="007807D4" w:rsidP="002022A9">
            <w:pPr>
              <w:jc w:val="right"/>
              <w:rPr>
                <w:rFonts w:ascii="Arial" w:hAnsi="Arial" w:cs="Arial"/>
                <w:sz w:val="24"/>
                <w:szCs w:val="24"/>
              </w:rPr>
            </w:pPr>
            <w:r>
              <w:rPr>
                <w:rFonts w:ascii="Arial" w:hAnsi="Arial" w:cs="Arial"/>
                <w:sz w:val="24"/>
                <w:szCs w:val="24"/>
              </w:rPr>
              <w:t>2</w:t>
            </w:r>
            <w:r w:rsidRPr="00920036">
              <w:rPr>
                <w:rFonts w:ascii="Arial" w:hAnsi="Arial" w:cs="Arial"/>
                <w:sz w:val="24"/>
                <w:szCs w:val="24"/>
              </w:rPr>
              <w:t>3</w:t>
            </w:r>
          </w:p>
        </w:tc>
      </w:tr>
      <w:tr w:rsidR="007807D4" w:rsidRPr="00920036" w14:paraId="747F330C" w14:textId="77777777" w:rsidTr="00CE7013">
        <w:trPr>
          <w:trHeight w:val="283"/>
        </w:trPr>
        <w:tc>
          <w:tcPr>
            <w:tcW w:w="3447" w:type="dxa"/>
            <w:tcBorders>
              <w:top w:val="single" w:sz="4" w:space="0" w:color="auto"/>
              <w:left w:val="single" w:sz="4" w:space="0" w:color="auto"/>
              <w:bottom w:val="single" w:sz="4" w:space="0" w:color="auto"/>
              <w:right w:val="single" w:sz="4" w:space="0" w:color="auto"/>
            </w:tcBorders>
            <w:hideMark/>
          </w:tcPr>
          <w:p w14:paraId="07EEA45C" w14:textId="7A40312D" w:rsidR="007807D4" w:rsidRPr="00920036" w:rsidRDefault="007807D4" w:rsidP="002022A9">
            <w:pPr>
              <w:rPr>
                <w:rFonts w:ascii="Arial" w:hAnsi="Arial" w:cs="Arial"/>
                <w:sz w:val="24"/>
                <w:szCs w:val="24"/>
              </w:rPr>
            </w:pPr>
            <w:r>
              <w:rPr>
                <w:rFonts w:ascii="Arial" w:hAnsi="Arial" w:cs="Arial"/>
                <w:sz w:val="24"/>
                <w:szCs w:val="24"/>
              </w:rPr>
              <w:t>Bayes</w:t>
            </w:r>
            <w:r w:rsidRPr="00920036">
              <w:rPr>
                <w:rFonts w:ascii="Arial" w:hAnsi="Arial" w:cs="Arial"/>
                <w:sz w:val="24"/>
                <w:szCs w:val="24"/>
              </w:rPr>
              <w:t xml:space="preserve"> </w:t>
            </w:r>
          </w:p>
        </w:tc>
        <w:tc>
          <w:tcPr>
            <w:tcW w:w="2582" w:type="dxa"/>
            <w:tcBorders>
              <w:top w:val="single" w:sz="4" w:space="0" w:color="auto"/>
              <w:left w:val="single" w:sz="4" w:space="0" w:color="auto"/>
              <w:bottom w:val="single" w:sz="4" w:space="0" w:color="auto"/>
              <w:right w:val="single" w:sz="4" w:space="0" w:color="auto"/>
            </w:tcBorders>
            <w:hideMark/>
          </w:tcPr>
          <w:p w14:paraId="692417B7" w14:textId="5D82DAE1" w:rsidR="007807D4" w:rsidRPr="00920036" w:rsidRDefault="007807D4" w:rsidP="002022A9">
            <w:pPr>
              <w:jc w:val="right"/>
              <w:rPr>
                <w:rFonts w:ascii="Arial" w:hAnsi="Arial" w:cs="Arial"/>
                <w:sz w:val="24"/>
                <w:szCs w:val="24"/>
              </w:rPr>
            </w:pPr>
            <w:r>
              <w:rPr>
                <w:rFonts w:ascii="Arial" w:hAnsi="Arial" w:cs="Arial"/>
                <w:sz w:val="24"/>
                <w:szCs w:val="24"/>
              </w:rPr>
              <w:t>18</w:t>
            </w:r>
            <w:r w:rsidRPr="00920036">
              <w:rPr>
                <w:rFonts w:ascii="Arial" w:hAnsi="Arial" w:cs="Arial"/>
                <w:sz w:val="24"/>
                <w:szCs w:val="24"/>
              </w:rPr>
              <w:t xml:space="preserve"> </w:t>
            </w:r>
          </w:p>
        </w:tc>
        <w:tc>
          <w:tcPr>
            <w:tcW w:w="1726" w:type="dxa"/>
            <w:tcBorders>
              <w:top w:val="single" w:sz="4" w:space="0" w:color="auto"/>
              <w:left w:val="single" w:sz="4" w:space="0" w:color="auto"/>
              <w:bottom w:val="single" w:sz="4" w:space="0" w:color="auto"/>
              <w:right w:val="single" w:sz="4" w:space="0" w:color="auto"/>
            </w:tcBorders>
            <w:hideMark/>
          </w:tcPr>
          <w:p w14:paraId="28AEAD76" w14:textId="1E036D9D" w:rsidR="007807D4" w:rsidRPr="00920036" w:rsidRDefault="00193AEC" w:rsidP="002022A9">
            <w:pPr>
              <w:jc w:val="right"/>
              <w:rPr>
                <w:rFonts w:ascii="Arial" w:hAnsi="Arial" w:cs="Arial"/>
                <w:sz w:val="24"/>
                <w:szCs w:val="24"/>
              </w:rPr>
            </w:pPr>
            <w:r>
              <w:rPr>
                <w:rFonts w:ascii="Arial" w:hAnsi="Arial" w:cs="Arial"/>
                <w:sz w:val="24"/>
                <w:szCs w:val="24"/>
              </w:rPr>
              <w:t>8</w:t>
            </w:r>
          </w:p>
        </w:tc>
        <w:tc>
          <w:tcPr>
            <w:tcW w:w="1720" w:type="dxa"/>
            <w:tcBorders>
              <w:top w:val="single" w:sz="4" w:space="0" w:color="auto"/>
              <w:left w:val="single" w:sz="4" w:space="0" w:color="auto"/>
              <w:bottom w:val="single" w:sz="4" w:space="0" w:color="auto"/>
              <w:right w:val="single" w:sz="4" w:space="0" w:color="auto"/>
            </w:tcBorders>
            <w:hideMark/>
          </w:tcPr>
          <w:p w14:paraId="50414382" w14:textId="38AB9614" w:rsidR="007807D4" w:rsidRPr="00920036" w:rsidRDefault="007807D4" w:rsidP="002022A9">
            <w:pPr>
              <w:jc w:val="right"/>
              <w:rPr>
                <w:rFonts w:ascii="Arial" w:hAnsi="Arial" w:cs="Arial"/>
                <w:sz w:val="24"/>
                <w:szCs w:val="24"/>
              </w:rPr>
            </w:pPr>
            <w:r>
              <w:rPr>
                <w:rFonts w:ascii="Arial" w:hAnsi="Arial" w:cs="Arial"/>
                <w:sz w:val="24"/>
                <w:szCs w:val="24"/>
              </w:rPr>
              <w:t>10</w:t>
            </w:r>
          </w:p>
        </w:tc>
      </w:tr>
      <w:tr w:rsidR="007807D4" w:rsidRPr="00920036" w14:paraId="31B96BC9" w14:textId="77777777" w:rsidTr="00CE7013">
        <w:trPr>
          <w:trHeight w:val="283"/>
        </w:trPr>
        <w:tc>
          <w:tcPr>
            <w:tcW w:w="3447" w:type="dxa"/>
            <w:tcBorders>
              <w:top w:val="single" w:sz="4" w:space="0" w:color="auto"/>
              <w:left w:val="single" w:sz="4" w:space="0" w:color="auto"/>
              <w:bottom w:val="single" w:sz="4" w:space="0" w:color="auto"/>
              <w:right w:val="single" w:sz="4" w:space="0" w:color="auto"/>
            </w:tcBorders>
            <w:hideMark/>
          </w:tcPr>
          <w:p w14:paraId="4ED64A92" w14:textId="77777777" w:rsidR="007807D4" w:rsidRPr="00920036" w:rsidRDefault="007807D4" w:rsidP="002022A9">
            <w:pPr>
              <w:rPr>
                <w:rFonts w:ascii="Arial" w:hAnsi="Arial" w:cs="Arial"/>
                <w:sz w:val="24"/>
                <w:szCs w:val="24"/>
              </w:rPr>
            </w:pPr>
            <w:r w:rsidRPr="00920036">
              <w:rPr>
                <w:rFonts w:ascii="Arial" w:hAnsi="Arial" w:cs="Arial"/>
                <w:sz w:val="24"/>
                <w:szCs w:val="24"/>
              </w:rPr>
              <w:t>SASS</w:t>
            </w:r>
          </w:p>
        </w:tc>
        <w:tc>
          <w:tcPr>
            <w:tcW w:w="2582" w:type="dxa"/>
            <w:tcBorders>
              <w:top w:val="single" w:sz="4" w:space="0" w:color="auto"/>
              <w:left w:val="single" w:sz="4" w:space="0" w:color="auto"/>
              <w:bottom w:val="single" w:sz="4" w:space="0" w:color="auto"/>
              <w:right w:val="single" w:sz="4" w:space="0" w:color="auto"/>
            </w:tcBorders>
            <w:hideMark/>
          </w:tcPr>
          <w:p w14:paraId="0DF79C95" w14:textId="528729CE" w:rsidR="007807D4" w:rsidRPr="00920036" w:rsidRDefault="00193AEC" w:rsidP="002022A9">
            <w:pPr>
              <w:jc w:val="right"/>
              <w:rPr>
                <w:rFonts w:ascii="Arial" w:hAnsi="Arial" w:cs="Arial"/>
                <w:sz w:val="24"/>
                <w:szCs w:val="24"/>
              </w:rPr>
            </w:pPr>
            <w:r>
              <w:rPr>
                <w:rFonts w:ascii="Arial" w:hAnsi="Arial" w:cs="Arial"/>
                <w:sz w:val="24"/>
                <w:szCs w:val="24"/>
              </w:rPr>
              <w:t>40</w:t>
            </w:r>
          </w:p>
        </w:tc>
        <w:tc>
          <w:tcPr>
            <w:tcW w:w="1726" w:type="dxa"/>
            <w:tcBorders>
              <w:top w:val="single" w:sz="4" w:space="0" w:color="auto"/>
              <w:left w:val="single" w:sz="4" w:space="0" w:color="auto"/>
              <w:bottom w:val="single" w:sz="4" w:space="0" w:color="auto"/>
              <w:right w:val="single" w:sz="4" w:space="0" w:color="auto"/>
            </w:tcBorders>
            <w:hideMark/>
          </w:tcPr>
          <w:p w14:paraId="6F3EB5ED" w14:textId="3C292075" w:rsidR="007807D4" w:rsidRPr="00920036" w:rsidRDefault="00193AEC" w:rsidP="002022A9">
            <w:pPr>
              <w:jc w:val="right"/>
              <w:rPr>
                <w:rFonts w:ascii="Arial" w:hAnsi="Arial" w:cs="Arial"/>
                <w:sz w:val="24"/>
                <w:szCs w:val="24"/>
              </w:rPr>
            </w:pPr>
            <w:r>
              <w:rPr>
                <w:rFonts w:ascii="Arial" w:hAnsi="Arial" w:cs="Arial"/>
                <w:sz w:val="24"/>
                <w:szCs w:val="24"/>
              </w:rPr>
              <w:t>23</w:t>
            </w:r>
          </w:p>
        </w:tc>
        <w:tc>
          <w:tcPr>
            <w:tcW w:w="1720" w:type="dxa"/>
            <w:tcBorders>
              <w:top w:val="single" w:sz="4" w:space="0" w:color="auto"/>
              <w:left w:val="single" w:sz="4" w:space="0" w:color="auto"/>
              <w:bottom w:val="single" w:sz="4" w:space="0" w:color="auto"/>
              <w:right w:val="single" w:sz="4" w:space="0" w:color="auto"/>
            </w:tcBorders>
            <w:hideMark/>
          </w:tcPr>
          <w:p w14:paraId="53D62EF8" w14:textId="457170E9" w:rsidR="007807D4" w:rsidRPr="00920036" w:rsidRDefault="007807D4" w:rsidP="002022A9">
            <w:pPr>
              <w:jc w:val="right"/>
              <w:rPr>
                <w:rFonts w:ascii="Arial" w:hAnsi="Arial" w:cs="Arial"/>
                <w:sz w:val="24"/>
                <w:szCs w:val="24"/>
              </w:rPr>
            </w:pPr>
            <w:r w:rsidRPr="00920036">
              <w:rPr>
                <w:rFonts w:ascii="Arial" w:hAnsi="Arial" w:cs="Arial"/>
                <w:sz w:val="24"/>
                <w:szCs w:val="24"/>
              </w:rPr>
              <w:t>1</w:t>
            </w:r>
            <w:r w:rsidR="00193AEC">
              <w:rPr>
                <w:rFonts w:ascii="Arial" w:hAnsi="Arial" w:cs="Arial"/>
                <w:sz w:val="24"/>
                <w:szCs w:val="24"/>
              </w:rPr>
              <w:t>7</w:t>
            </w:r>
          </w:p>
        </w:tc>
      </w:tr>
      <w:tr w:rsidR="007807D4" w:rsidRPr="00920036" w14:paraId="4BF67F05" w14:textId="77777777" w:rsidTr="00CE7013">
        <w:trPr>
          <w:trHeight w:val="283"/>
        </w:trPr>
        <w:tc>
          <w:tcPr>
            <w:tcW w:w="3447" w:type="dxa"/>
            <w:tcBorders>
              <w:top w:val="single" w:sz="4" w:space="0" w:color="auto"/>
              <w:left w:val="single" w:sz="4" w:space="0" w:color="auto"/>
              <w:bottom w:val="single" w:sz="4" w:space="0" w:color="auto"/>
              <w:right w:val="single" w:sz="4" w:space="0" w:color="auto"/>
            </w:tcBorders>
            <w:hideMark/>
          </w:tcPr>
          <w:p w14:paraId="3168CB92" w14:textId="77777777" w:rsidR="007807D4" w:rsidRPr="00920036" w:rsidRDefault="007807D4" w:rsidP="002022A9">
            <w:pPr>
              <w:rPr>
                <w:rFonts w:ascii="Arial" w:hAnsi="Arial" w:cs="Arial"/>
                <w:sz w:val="24"/>
                <w:szCs w:val="24"/>
              </w:rPr>
            </w:pPr>
            <w:r w:rsidRPr="00920036">
              <w:rPr>
                <w:rFonts w:ascii="Arial" w:hAnsi="Arial" w:cs="Arial"/>
                <w:sz w:val="24"/>
                <w:szCs w:val="24"/>
              </w:rPr>
              <w:t>SHS</w:t>
            </w:r>
          </w:p>
        </w:tc>
        <w:tc>
          <w:tcPr>
            <w:tcW w:w="2582" w:type="dxa"/>
            <w:tcBorders>
              <w:top w:val="single" w:sz="4" w:space="0" w:color="auto"/>
              <w:left w:val="single" w:sz="4" w:space="0" w:color="auto"/>
              <w:bottom w:val="single" w:sz="4" w:space="0" w:color="auto"/>
              <w:right w:val="single" w:sz="4" w:space="0" w:color="auto"/>
            </w:tcBorders>
            <w:hideMark/>
          </w:tcPr>
          <w:p w14:paraId="1C5679CE" w14:textId="35DAF416" w:rsidR="007807D4" w:rsidRPr="00920036" w:rsidRDefault="007807D4" w:rsidP="002022A9">
            <w:pPr>
              <w:jc w:val="right"/>
              <w:rPr>
                <w:rFonts w:ascii="Arial" w:hAnsi="Arial" w:cs="Arial"/>
                <w:sz w:val="24"/>
                <w:szCs w:val="24"/>
              </w:rPr>
            </w:pPr>
            <w:r>
              <w:rPr>
                <w:rFonts w:ascii="Arial" w:hAnsi="Arial" w:cs="Arial"/>
                <w:sz w:val="24"/>
                <w:szCs w:val="24"/>
              </w:rPr>
              <w:t>15</w:t>
            </w:r>
          </w:p>
        </w:tc>
        <w:tc>
          <w:tcPr>
            <w:tcW w:w="1726" w:type="dxa"/>
            <w:tcBorders>
              <w:top w:val="single" w:sz="4" w:space="0" w:color="auto"/>
              <w:left w:val="single" w:sz="4" w:space="0" w:color="auto"/>
              <w:bottom w:val="single" w:sz="4" w:space="0" w:color="auto"/>
              <w:right w:val="single" w:sz="4" w:space="0" w:color="auto"/>
            </w:tcBorders>
            <w:hideMark/>
          </w:tcPr>
          <w:p w14:paraId="3C8B9E8A" w14:textId="11390DF2" w:rsidR="007807D4" w:rsidRPr="00920036" w:rsidRDefault="007807D4" w:rsidP="002022A9">
            <w:pPr>
              <w:jc w:val="right"/>
              <w:rPr>
                <w:rFonts w:ascii="Arial" w:hAnsi="Arial" w:cs="Arial"/>
                <w:sz w:val="24"/>
                <w:szCs w:val="24"/>
              </w:rPr>
            </w:pPr>
            <w:r>
              <w:rPr>
                <w:rFonts w:ascii="Arial" w:hAnsi="Arial" w:cs="Arial"/>
                <w:sz w:val="24"/>
                <w:szCs w:val="24"/>
              </w:rPr>
              <w:t>14</w:t>
            </w:r>
          </w:p>
        </w:tc>
        <w:tc>
          <w:tcPr>
            <w:tcW w:w="1720" w:type="dxa"/>
            <w:tcBorders>
              <w:top w:val="single" w:sz="4" w:space="0" w:color="auto"/>
              <w:left w:val="single" w:sz="4" w:space="0" w:color="auto"/>
              <w:bottom w:val="single" w:sz="4" w:space="0" w:color="auto"/>
              <w:right w:val="single" w:sz="4" w:space="0" w:color="auto"/>
            </w:tcBorders>
            <w:hideMark/>
          </w:tcPr>
          <w:p w14:paraId="534DF1A4" w14:textId="517FE8B3" w:rsidR="007807D4" w:rsidRPr="00920036" w:rsidRDefault="007807D4" w:rsidP="002022A9">
            <w:pPr>
              <w:jc w:val="right"/>
              <w:rPr>
                <w:rFonts w:ascii="Arial" w:hAnsi="Arial" w:cs="Arial"/>
                <w:sz w:val="24"/>
                <w:szCs w:val="24"/>
              </w:rPr>
            </w:pPr>
            <w:r>
              <w:rPr>
                <w:rFonts w:ascii="Arial" w:hAnsi="Arial" w:cs="Arial"/>
                <w:sz w:val="24"/>
                <w:szCs w:val="24"/>
              </w:rPr>
              <w:t>5</w:t>
            </w:r>
          </w:p>
        </w:tc>
      </w:tr>
      <w:tr w:rsidR="007807D4" w:rsidRPr="00920036" w14:paraId="2FFD07EE" w14:textId="77777777" w:rsidTr="00CE7013">
        <w:trPr>
          <w:trHeight w:val="283"/>
        </w:trPr>
        <w:tc>
          <w:tcPr>
            <w:tcW w:w="3447" w:type="dxa"/>
            <w:tcBorders>
              <w:top w:val="single" w:sz="4" w:space="0" w:color="auto"/>
              <w:left w:val="single" w:sz="4" w:space="0" w:color="auto"/>
              <w:bottom w:val="single" w:sz="4" w:space="0" w:color="auto"/>
              <w:right w:val="single" w:sz="4" w:space="0" w:color="auto"/>
            </w:tcBorders>
            <w:hideMark/>
          </w:tcPr>
          <w:p w14:paraId="4A73C38C" w14:textId="77777777" w:rsidR="007807D4" w:rsidRPr="00920036" w:rsidRDefault="007807D4" w:rsidP="002022A9">
            <w:pPr>
              <w:rPr>
                <w:rFonts w:ascii="Arial" w:hAnsi="Arial" w:cs="Arial"/>
                <w:sz w:val="24"/>
                <w:szCs w:val="24"/>
              </w:rPr>
            </w:pPr>
            <w:r w:rsidRPr="00920036">
              <w:rPr>
                <w:rFonts w:ascii="Arial" w:hAnsi="Arial" w:cs="Arial"/>
                <w:sz w:val="24"/>
                <w:szCs w:val="24"/>
              </w:rPr>
              <w:t>CLS</w:t>
            </w:r>
          </w:p>
        </w:tc>
        <w:tc>
          <w:tcPr>
            <w:tcW w:w="2582" w:type="dxa"/>
            <w:tcBorders>
              <w:top w:val="single" w:sz="4" w:space="0" w:color="auto"/>
              <w:left w:val="single" w:sz="4" w:space="0" w:color="auto"/>
              <w:bottom w:val="single" w:sz="4" w:space="0" w:color="auto"/>
              <w:right w:val="single" w:sz="4" w:space="0" w:color="auto"/>
            </w:tcBorders>
            <w:hideMark/>
          </w:tcPr>
          <w:p w14:paraId="5621BECE" w14:textId="555C7AB5" w:rsidR="007807D4" w:rsidRPr="00920036" w:rsidRDefault="00193AEC" w:rsidP="002022A9">
            <w:pPr>
              <w:jc w:val="right"/>
              <w:rPr>
                <w:rFonts w:ascii="Arial" w:hAnsi="Arial" w:cs="Arial"/>
                <w:sz w:val="24"/>
                <w:szCs w:val="24"/>
              </w:rPr>
            </w:pPr>
            <w:r>
              <w:rPr>
                <w:rFonts w:ascii="Arial" w:hAnsi="Arial" w:cs="Arial"/>
                <w:sz w:val="24"/>
                <w:szCs w:val="24"/>
              </w:rPr>
              <w:t>2</w:t>
            </w:r>
          </w:p>
        </w:tc>
        <w:tc>
          <w:tcPr>
            <w:tcW w:w="1726" w:type="dxa"/>
            <w:tcBorders>
              <w:top w:val="single" w:sz="4" w:space="0" w:color="auto"/>
              <w:left w:val="single" w:sz="4" w:space="0" w:color="auto"/>
              <w:bottom w:val="single" w:sz="4" w:space="0" w:color="auto"/>
              <w:right w:val="single" w:sz="4" w:space="0" w:color="auto"/>
            </w:tcBorders>
            <w:hideMark/>
          </w:tcPr>
          <w:p w14:paraId="67A1C2B8" w14:textId="39BFD2B8" w:rsidR="007807D4" w:rsidRPr="00920036" w:rsidRDefault="00193AEC" w:rsidP="002022A9">
            <w:pPr>
              <w:jc w:val="right"/>
              <w:rPr>
                <w:rFonts w:ascii="Arial" w:hAnsi="Arial" w:cs="Arial"/>
                <w:sz w:val="24"/>
                <w:szCs w:val="24"/>
              </w:rPr>
            </w:pPr>
            <w:r>
              <w:rPr>
                <w:rFonts w:ascii="Arial" w:hAnsi="Arial" w:cs="Arial"/>
                <w:sz w:val="24"/>
                <w:szCs w:val="24"/>
              </w:rPr>
              <w:t>2</w:t>
            </w:r>
          </w:p>
        </w:tc>
        <w:tc>
          <w:tcPr>
            <w:tcW w:w="1720" w:type="dxa"/>
            <w:tcBorders>
              <w:top w:val="single" w:sz="4" w:space="0" w:color="auto"/>
              <w:left w:val="single" w:sz="4" w:space="0" w:color="auto"/>
              <w:bottom w:val="single" w:sz="4" w:space="0" w:color="auto"/>
              <w:right w:val="single" w:sz="4" w:space="0" w:color="auto"/>
            </w:tcBorders>
            <w:hideMark/>
          </w:tcPr>
          <w:p w14:paraId="43B7FD89" w14:textId="1ABDFDAF" w:rsidR="007807D4" w:rsidRPr="00920036" w:rsidRDefault="00193AEC" w:rsidP="002022A9">
            <w:pPr>
              <w:jc w:val="right"/>
              <w:rPr>
                <w:rFonts w:ascii="Arial" w:hAnsi="Arial" w:cs="Arial"/>
                <w:sz w:val="24"/>
                <w:szCs w:val="24"/>
              </w:rPr>
            </w:pPr>
            <w:r>
              <w:rPr>
                <w:rFonts w:ascii="Arial" w:hAnsi="Arial" w:cs="Arial"/>
                <w:sz w:val="24"/>
                <w:szCs w:val="24"/>
              </w:rPr>
              <w:t>0</w:t>
            </w:r>
          </w:p>
        </w:tc>
      </w:tr>
      <w:tr w:rsidR="007807D4" w:rsidRPr="00920036" w14:paraId="19DB48D3" w14:textId="77777777" w:rsidTr="00CE7013">
        <w:trPr>
          <w:trHeight w:val="283"/>
        </w:trPr>
        <w:tc>
          <w:tcPr>
            <w:tcW w:w="3447" w:type="dxa"/>
            <w:tcBorders>
              <w:top w:val="single" w:sz="4" w:space="0" w:color="auto"/>
              <w:left w:val="single" w:sz="4" w:space="0" w:color="auto"/>
              <w:bottom w:val="single" w:sz="4" w:space="0" w:color="auto"/>
              <w:right w:val="single" w:sz="4" w:space="0" w:color="auto"/>
            </w:tcBorders>
            <w:hideMark/>
          </w:tcPr>
          <w:p w14:paraId="192602DD" w14:textId="77777777" w:rsidR="007807D4" w:rsidRPr="00920036" w:rsidRDefault="007807D4" w:rsidP="002022A9">
            <w:pPr>
              <w:rPr>
                <w:rFonts w:ascii="Arial" w:hAnsi="Arial" w:cs="Arial"/>
                <w:sz w:val="24"/>
                <w:szCs w:val="24"/>
              </w:rPr>
            </w:pPr>
            <w:r w:rsidRPr="00920036">
              <w:rPr>
                <w:rFonts w:ascii="Arial" w:hAnsi="Arial" w:cs="Arial"/>
                <w:sz w:val="24"/>
                <w:szCs w:val="24"/>
              </w:rPr>
              <w:t>LEaD</w:t>
            </w:r>
          </w:p>
        </w:tc>
        <w:tc>
          <w:tcPr>
            <w:tcW w:w="2582" w:type="dxa"/>
            <w:tcBorders>
              <w:top w:val="single" w:sz="4" w:space="0" w:color="auto"/>
              <w:left w:val="single" w:sz="4" w:space="0" w:color="auto"/>
              <w:bottom w:val="single" w:sz="4" w:space="0" w:color="auto"/>
              <w:right w:val="single" w:sz="4" w:space="0" w:color="auto"/>
            </w:tcBorders>
            <w:hideMark/>
          </w:tcPr>
          <w:p w14:paraId="6248A41C" w14:textId="77777777" w:rsidR="007807D4" w:rsidRPr="00920036" w:rsidRDefault="007807D4" w:rsidP="002022A9">
            <w:pPr>
              <w:jc w:val="right"/>
              <w:rPr>
                <w:rFonts w:ascii="Arial" w:hAnsi="Arial" w:cs="Arial"/>
                <w:sz w:val="24"/>
                <w:szCs w:val="24"/>
              </w:rPr>
            </w:pPr>
            <w:r w:rsidRPr="00920036">
              <w:rPr>
                <w:rFonts w:ascii="Arial" w:hAnsi="Arial" w:cs="Arial"/>
                <w:sz w:val="24"/>
                <w:szCs w:val="24"/>
              </w:rPr>
              <w:t>2</w:t>
            </w:r>
          </w:p>
        </w:tc>
        <w:tc>
          <w:tcPr>
            <w:tcW w:w="1726" w:type="dxa"/>
            <w:tcBorders>
              <w:top w:val="single" w:sz="4" w:space="0" w:color="auto"/>
              <w:left w:val="single" w:sz="4" w:space="0" w:color="auto"/>
              <w:bottom w:val="single" w:sz="4" w:space="0" w:color="auto"/>
              <w:right w:val="single" w:sz="4" w:space="0" w:color="auto"/>
            </w:tcBorders>
            <w:hideMark/>
          </w:tcPr>
          <w:p w14:paraId="17CCBF7C" w14:textId="68C94DCC" w:rsidR="007807D4" w:rsidRPr="00920036" w:rsidRDefault="00193AEC" w:rsidP="002022A9">
            <w:pPr>
              <w:jc w:val="right"/>
              <w:rPr>
                <w:rFonts w:ascii="Arial" w:hAnsi="Arial" w:cs="Arial"/>
                <w:sz w:val="24"/>
                <w:szCs w:val="24"/>
              </w:rPr>
            </w:pPr>
            <w:r>
              <w:rPr>
                <w:rFonts w:ascii="Arial" w:hAnsi="Arial" w:cs="Arial"/>
                <w:sz w:val="24"/>
                <w:szCs w:val="24"/>
              </w:rPr>
              <w:t>0</w:t>
            </w:r>
          </w:p>
        </w:tc>
        <w:tc>
          <w:tcPr>
            <w:tcW w:w="1720" w:type="dxa"/>
            <w:tcBorders>
              <w:top w:val="single" w:sz="4" w:space="0" w:color="auto"/>
              <w:left w:val="single" w:sz="4" w:space="0" w:color="auto"/>
              <w:bottom w:val="single" w:sz="4" w:space="0" w:color="auto"/>
              <w:right w:val="single" w:sz="4" w:space="0" w:color="auto"/>
            </w:tcBorders>
            <w:hideMark/>
          </w:tcPr>
          <w:p w14:paraId="24DAAE72" w14:textId="77777777" w:rsidR="007807D4" w:rsidRPr="00920036" w:rsidRDefault="007807D4" w:rsidP="002022A9">
            <w:pPr>
              <w:jc w:val="right"/>
              <w:rPr>
                <w:rFonts w:ascii="Arial" w:hAnsi="Arial" w:cs="Arial"/>
                <w:sz w:val="24"/>
                <w:szCs w:val="24"/>
              </w:rPr>
            </w:pPr>
            <w:r w:rsidRPr="00920036">
              <w:rPr>
                <w:rFonts w:ascii="Arial" w:hAnsi="Arial" w:cs="Arial"/>
                <w:sz w:val="24"/>
                <w:szCs w:val="24"/>
              </w:rPr>
              <w:t>2</w:t>
            </w:r>
          </w:p>
        </w:tc>
      </w:tr>
      <w:tr w:rsidR="007807D4" w:rsidRPr="00920036" w14:paraId="1C4D1FB5" w14:textId="77777777" w:rsidTr="00CE7013">
        <w:trPr>
          <w:trHeight w:val="283"/>
        </w:trPr>
        <w:tc>
          <w:tcPr>
            <w:tcW w:w="3447" w:type="dxa"/>
            <w:tcBorders>
              <w:top w:val="single" w:sz="4" w:space="0" w:color="auto"/>
              <w:left w:val="single" w:sz="4" w:space="0" w:color="auto"/>
              <w:bottom w:val="single" w:sz="4" w:space="0" w:color="auto"/>
              <w:right w:val="single" w:sz="4" w:space="0" w:color="auto"/>
            </w:tcBorders>
            <w:hideMark/>
          </w:tcPr>
          <w:p w14:paraId="0C857D21" w14:textId="77777777" w:rsidR="007807D4" w:rsidRPr="00920036" w:rsidRDefault="007807D4" w:rsidP="002022A9">
            <w:pPr>
              <w:rPr>
                <w:rFonts w:ascii="Arial" w:hAnsi="Arial" w:cs="Arial"/>
                <w:b/>
                <w:sz w:val="24"/>
                <w:szCs w:val="24"/>
              </w:rPr>
            </w:pPr>
            <w:r w:rsidRPr="00920036">
              <w:rPr>
                <w:rFonts w:ascii="Arial" w:hAnsi="Arial" w:cs="Arial"/>
                <w:b/>
                <w:sz w:val="24"/>
                <w:szCs w:val="24"/>
              </w:rPr>
              <w:t>Totals:</w:t>
            </w:r>
          </w:p>
        </w:tc>
        <w:tc>
          <w:tcPr>
            <w:tcW w:w="2582" w:type="dxa"/>
            <w:tcBorders>
              <w:top w:val="single" w:sz="4" w:space="0" w:color="auto"/>
              <w:left w:val="single" w:sz="4" w:space="0" w:color="auto"/>
              <w:bottom w:val="single" w:sz="4" w:space="0" w:color="auto"/>
              <w:right w:val="single" w:sz="4" w:space="0" w:color="auto"/>
            </w:tcBorders>
            <w:vAlign w:val="center"/>
            <w:hideMark/>
          </w:tcPr>
          <w:p w14:paraId="781E107C" w14:textId="77777777" w:rsidR="007807D4" w:rsidRPr="00920036" w:rsidRDefault="007807D4" w:rsidP="002022A9">
            <w:pPr>
              <w:jc w:val="right"/>
              <w:rPr>
                <w:rFonts w:ascii="Arial" w:hAnsi="Arial" w:cs="Arial"/>
                <w:color w:val="000000"/>
                <w:sz w:val="24"/>
                <w:szCs w:val="24"/>
              </w:rPr>
            </w:pPr>
            <w:r w:rsidRPr="00920036">
              <w:rPr>
                <w:rFonts w:ascii="Arial" w:hAnsi="Arial" w:cs="Arial"/>
                <w:color w:val="000000"/>
                <w:sz w:val="24"/>
                <w:szCs w:val="24"/>
              </w:rPr>
              <w:t>115</w:t>
            </w:r>
          </w:p>
        </w:tc>
        <w:tc>
          <w:tcPr>
            <w:tcW w:w="1726" w:type="dxa"/>
            <w:tcBorders>
              <w:top w:val="single" w:sz="4" w:space="0" w:color="auto"/>
              <w:left w:val="single" w:sz="4" w:space="0" w:color="auto"/>
              <w:bottom w:val="single" w:sz="4" w:space="0" w:color="auto"/>
              <w:right w:val="single" w:sz="4" w:space="0" w:color="auto"/>
            </w:tcBorders>
            <w:vAlign w:val="center"/>
            <w:hideMark/>
          </w:tcPr>
          <w:p w14:paraId="346B5969" w14:textId="3361A1D6" w:rsidR="007807D4" w:rsidRPr="00920036" w:rsidRDefault="00193AEC" w:rsidP="002022A9">
            <w:pPr>
              <w:jc w:val="right"/>
              <w:rPr>
                <w:rFonts w:ascii="Arial" w:hAnsi="Arial" w:cs="Arial"/>
                <w:color w:val="000000"/>
                <w:sz w:val="24"/>
                <w:szCs w:val="24"/>
              </w:rPr>
            </w:pPr>
            <w:r>
              <w:rPr>
                <w:rFonts w:ascii="Arial" w:hAnsi="Arial" w:cs="Arial"/>
                <w:color w:val="000000"/>
                <w:sz w:val="24"/>
                <w:szCs w:val="24"/>
              </w:rPr>
              <w:t>62</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551EE6F" w14:textId="2344C126" w:rsidR="007807D4" w:rsidRPr="00920036" w:rsidRDefault="00193AEC" w:rsidP="002022A9">
            <w:pPr>
              <w:jc w:val="right"/>
              <w:rPr>
                <w:rFonts w:ascii="Arial" w:hAnsi="Arial" w:cs="Arial"/>
                <w:color w:val="000000"/>
                <w:sz w:val="24"/>
                <w:szCs w:val="24"/>
              </w:rPr>
            </w:pPr>
            <w:r>
              <w:rPr>
                <w:rFonts w:ascii="Arial" w:hAnsi="Arial" w:cs="Arial"/>
                <w:color w:val="000000"/>
                <w:sz w:val="24"/>
                <w:szCs w:val="24"/>
              </w:rPr>
              <w:t>57</w:t>
            </w:r>
          </w:p>
        </w:tc>
      </w:tr>
    </w:tbl>
    <w:p w14:paraId="1E96365E" w14:textId="63C41D64" w:rsidR="007B3A18" w:rsidRPr="00920036" w:rsidRDefault="007B3A18" w:rsidP="00920036">
      <w:pPr>
        <w:pStyle w:val="ListParagraph"/>
        <w:spacing w:after="0" w:line="240" w:lineRule="auto"/>
        <w:ind w:left="0"/>
        <w:rPr>
          <w:rFonts w:ascii="Arial" w:hAnsi="Arial" w:cs="Arial"/>
          <w:sz w:val="24"/>
          <w:szCs w:val="24"/>
        </w:rPr>
      </w:pPr>
    </w:p>
    <w:p w14:paraId="4A00EB31" w14:textId="5C49F5E9" w:rsidR="008A707D" w:rsidRPr="007807D4" w:rsidRDefault="007807D4" w:rsidP="00B459F0">
      <w:pPr>
        <w:pStyle w:val="ListParagraph"/>
        <w:ind w:left="0"/>
        <w:rPr>
          <w:rFonts w:ascii="Arial" w:hAnsi="Arial" w:cs="Arial"/>
          <w:sz w:val="24"/>
          <w:szCs w:val="24"/>
        </w:rPr>
      </w:pPr>
      <w:r w:rsidRPr="007807D4">
        <w:rPr>
          <w:rFonts w:ascii="Arial" w:hAnsi="Arial" w:cs="Arial"/>
          <w:sz w:val="24"/>
          <w:szCs w:val="24"/>
        </w:rPr>
        <w:t>*</w:t>
      </w:r>
      <w:r w:rsidR="00CE7013">
        <w:rPr>
          <w:rFonts w:ascii="Arial" w:hAnsi="Arial" w:cs="Arial"/>
          <w:sz w:val="24"/>
          <w:szCs w:val="24"/>
        </w:rPr>
        <w:t>S</w:t>
      </w:r>
      <w:r w:rsidRPr="007807D4">
        <w:rPr>
          <w:rFonts w:ascii="Arial" w:hAnsi="Arial" w:cs="Arial"/>
          <w:sz w:val="24"/>
          <w:szCs w:val="24"/>
        </w:rPr>
        <w:t>ome amendment forms included both UG and PG programmes</w:t>
      </w:r>
    </w:p>
    <w:p w14:paraId="2E958F0E" w14:textId="77777777" w:rsidR="007807D4" w:rsidRDefault="007807D4" w:rsidP="00B459F0">
      <w:pPr>
        <w:pStyle w:val="ListParagraph"/>
        <w:ind w:left="0"/>
        <w:rPr>
          <w:rFonts w:ascii="Arial" w:hAnsi="Arial" w:cs="Arial"/>
          <w:b/>
          <w:sz w:val="24"/>
          <w:szCs w:val="24"/>
        </w:rPr>
      </w:pPr>
    </w:p>
    <w:p w14:paraId="7AF07967" w14:textId="4F64FF76" w:rsidR="00CA0EAB" w:rsidRDefault="00CA0EAB" w:rsidP="009A464E">
      <w:pPr>
        <w:pStyle w:val="ListParagraph"/>
        <w:numPr>
          <w:ilvl w:val="0"/>
          <w:numId w:val="31"/>
        </w:numPr>
        <w:rPr>
          <w:rFonts w:ascii="Arial" w:hAnsi="Arial" w:cs="Arial"/>
          <w:b/>
          <w:sz w:val="24"/>
          <w:szCs w:val="24"/>
        </w:rPr>
      </w:pPr>
      <w:r w:rsidRPr="00920036">
        <w:rPr>
          <w:rFonts w:ascii="Arial" w:hAnsi="Arial" w:cs="Arial"/>
          <w:b/>
          <w:sz w:val="24"/>
          <w:szCs w:val="24"/>
        </w:rPr>
        <w:t>Several themes were evident</w:t>
      </w:r>
      <w:r>
        <w:rPr>
          <w:rFonts w:ascii="Arial" w:hAnsi="Arial" w:cs="Arial"/>
          <w:b/>
          <w:sz w:val="24"/>
          <w:szCs w:val="24"/>
        </w:rPr>
        <w:t xml:space="preserve"> in the submissions</w:t>
      </w:r>
    </w:p>
    <w:p w14:paraId="05AF32B0" w14:textId="77777777" w:rsidR="00CA0EAB" w:rsidRPr="00CE7013" w:rsidRDefault="00CA0EAB" w:rsidP="00B459F0">
      <w:pPr>
        <w:pStyle w:val="ListParagraph"/>
        <w:ind w:left="0"/>
        <w:rPr>
          <w:rFonts w:ascii="Arial" w:hAnsi="Arial" w:cs="Arial"/>
          <w:b/>
          <w:sz w:val="24"/>
          <w:szCs w:val="24"/>
        </w:rPr>
      </w:pPr>
    </w:p>
    <w:p w14:paraId="1501EB84" w14:textId="5C6997AB" w:rsidR="00920036" w:rsidRPr="00CE7013" w:rsidRDefault="00920036" w:rsidP="00CA0EAB">
      <w:pPr>
        <w:pStyle w:val="ListParagraph"/>
        <w:numPr>
          <w:ilvl w:val="0"/>
          <w:numId w:val="21"/>
        </w:numPr>
        <w:rPr>
          <w:rFonts w:ascii="Arial" w:hAnsi="Arial" w:cs="Arial"/>
          <w:b/>
          <w:sz w:val="24"/>
          <w:szCs w:val="24"/>
        </w:rPr>
      </w:pPr>
      <w:r w:rsidRPr="00CE7013">
        <w:rPr>
          <w:rFonts w:ascii="Arial" w:hAnsi="Arial" w:cs="Arial"/>
          <w:b/>
          <w:sz w:val="24"/>
          <w:szCs w:val="24"/>
        </w:rPr>
        <w:t>Quality of documentation /Unclear or Incomplete Information</w:t>
      </w:r>
    </w:p>
    <w:p w14:paraId="5D0DD5CF" w14:textId="0E44127E" w:rsidR="00920036" w:rsidRPr="00CE7013" w:rsidRDefault="007B3A18">
      <w:pPr>
        <w:spacing w:after="0" w:line="240" w:lineRule="auto"/>
        <w:rPr>
          <w:rFonts w:ascii="Arial" w:hAnsi="Arial" w:cs="Arial"/>
          <w:sz w:val="24"/>
          <w:szCs w:val="24"/>
        </w:rPr>
      </w:pPr>
      <w:r w:rsidRPr="00CE7013">
        <w:rPr>
          <w:rFonts w:ascii="Arial" w:hAnsi="Arial" w:cs="Arial"/>
          <w:sz w:val="24"/>
          <w:szCs w:val="24"/>
        </w:rPr>
        <w:t xml:space="preserve">There were </w:t>
      </w:r>
      <w:r w:rsidR="00CE7013" w:rsidRPr="00CE7013">
        <w:rPr>
          <w:rFonts w:ascii="Arial" w:hAnsi="Arial" w:cs="Arial"/>
          <w:sz w:val="24"/>
          <w:szCs w:val="24"/>
        </w:rPr>
        <w:t>several</w:t>
      </w:r>
      <w:r w:rsidRPr="00CE7013">
        <w:rPr>
          <w:rFonts w:ascii="Arial" w:hAnsi="Arial" w:cs="Arial"/>
          <w:sz w:val="24"/>
          <w:szCs w:val="24"/>
        </w:rPr>
        <w:t xml:space="preserve"> recurring issues with the documentation submitted to Student and </w:t>
      </w:r>
      <w:r w:rsidRPr="00CE7013">
        <w:rPr>
          <w:rFonts w:ascii="Arial" w:hAnsi="Arial" w:cs="Arial"/>
          <w:sz w:val="24"/>
          <w:szCs w:val="24"/>
        </w:rPr>
        <w:tab/>
        <w:t>Academic Services, which slowed the approval process and generated additional work for</w:t>
      </w:r>
      <w:r w:rsidR="00193AEC" w:rsidRPr="00CE7013">
        <w:rPr>
          <w:rFonts w:ascii="Arial" w:hAnsi="Arial" w:cs="Arial"/>
          <w:sz w:val="24"/>
          <w:szCs w:val="24"/>
        </w:rPr>
        <w:t xml:space="preserve"> </w:t>
      </w:r>
      <w:r w:rsidRPr="00CE7013">
        <w:rPr>
          <w:rFonts w:ascii="Arial" w:hAnsi="Arial" w:cs="Arial"/>
          <w:sz w:val="24"/>
          <w:szCs w:val="24"/>
        </w:rPr>
        <w:t xml:space="preserve">both Central and School services. In a number of cases, significant time was lost eliciting the necessary information for the Student Systems Team to be able </w:t>
      </w:r>
      <w:r w:rsidR="00DB3599">
        <w:rPr>
          <w:rFonts w:ascii="Arial" w:hAnsi="Arial" w:cs="Arial"/>
          <w:sz w:val="24"/>
          <w:szCs w:val="24"/>
        </w:rPr>
        <w:t xml:space="preserve">to </w:t>
      </w:r>
      <w:r w:rsidRPr="00CE7013">
        <w:rPr>
          <w:rFonts w:ascii="Arial" w:hAnsi="Arial" w:cs="Arial"/>
          <w:sz w:val="24"/>
          <w:szCs w:val="24"/>
        </w:rPr>
        <w:t xml:space="preserve">implement the requested amendments in SITS. </w:t>
      </w:r>
      <w:r w:rsidR="00193AEC" w:rsidRPr="00CE7013">
        <w:rPr>
          <w:rFonts w:ascii="Arial" w:hAnsi="Arial" w:cs="Arial"/>
          <w:sz w:val="24"/>
          <w:szCs w:val="24"/>
        </w:rPr>
        <w:t xml:space="preserve">Evidence of student consultation was often missing. </w:t>
      </w:r>
    </w:p>
    <w:p w14:paraId="77FD5AA5" w14:textId="77777777" w:rsidR="007B3A18" w:rsidRPr="00CE7013" w:rsidRDefault="007B3A18">
      <w:pPr>
        <w:spacing w:after="0" w:line="240" w:lineRule="auto"/>
        <w:rPr>
          <w:rFonts w:ascii="Arial" w:hAnsi="Arial" w:cs="Arial"/>
          <w:b/>
          <w:sz w:val="24"/>
          <w:szCs w:val="24"/>
        </w:rPr>
      </w:pPr>
    </w:p>
    <w:p w14:paraId="4D8B58E3" w14:textId="77777777" w:rsidR="007B3A18" w:rsidRPr="00CE7013" w:rsidRDefault="007B3A18" w:rsidP="00CA0EAB">
      <w:pPr>
        <w:pStyle w:val="ListParagraph"/>
        <w:numPr>
          <w:ilvl w:val="0"/>
          <w:numId w:val="21"/>
        </w:numPr>
        <w:spacing w:after="0" w:line="240" w:lineRule="auto"/>
        <w:rPr>
          <w:rFonts w:ascii="Arial" w:hAnsi="Arial" w:cs="Arial"/>
          <w:b/>
          <w:sz w:val="24"/>
          <w:szCs w:val="24"/>
        </w:rPr>
      </w:pPr>
      <w:r w:rsidRPr="00CE7013">
        <w:rPr>
          <w:rFonts w:ascii="Arial" w:hAnsi="Arial" w:cs="Arial"/>
          <w:b/>
          <w:sz w:val="24"/>
          <w:szCs w:val="24"/>
        </w:rPr>
        <w:t>Missing Specifications</w:t>
      </w:r>
    </w:p>
    <w:p w14:paraId="759558FE" w14:textId="2914414B" w:rsidR="00920036" w:rsidRPr="00CE7013" w:rsidRDefault="007B3A18">
      <w:pPr>
        <w:spacing w:after="0" w:line="240" w:lineRule="auto"/>
        <w:rPr>
          <w:rFonts w:ascii="Arial" w:hAnsi="Arial" w:cs="Arial"/>
          <w:sz w:val="24"/>
          <w:szCs w:val="24"/>
        </w:rPr>
      </w:pPr>
      <w:r w:rsidRPr="00CE7013">
        <w:rPr>
          <w:rFonts w:ascii="Arial" w:hAnsi="Arial" w:cs="Arial"/>
          <w:sz w:val="24"/>
          <w:szCs w:val="24"/>
        </w:rPr>
        <w:t>In some cases, the module and programme specifications, which are required by both Student and Academic Services, the Student Systems Team and the Marketing team to be able to process the amendments, were missing from the reg-progdocs shared drive</w:t>
      </w:r>
      <w:r w:rsidR="00193AEC" w:rsidRPr="00CE7013">
        <w:rPr>
          <w:rFonts w:ascii="Arial" w:hAnsi="Arial" w:cs="Arial"/>
          <w:sz w:val="24"/>
          <w:szCs w:val="24"/>
        </w:rPr>
        <w:t xml:space="preserve"> or updated</w:t>
      </w:r>
      <w:r w:rsidR="00DB3599">
        <w:rPr>
          <w:rFonts w:ascii="Arial" w:hAnsi="Arial" w:cs="Arial"/>
          <w:sz w:val="24"/>
          <w:szCs w:val="24"/>
        </w:rPr>
        <w:t xml:space="preserve"> promptly</w:t>
      </w:r>
      <w:r w:rsidR="00193AEC" w:rsidRPr="00CE7013">
        <w:rPr>
          <w:rFonts w:ascii="Arial" w:hAnsi="Arial" w:cs="Arial"/>
          <w:sz w:val="24"/>
          <w:szCs w:val="24"/>
        </w:rPr>
        <w:t>.</w:t>
      </w:r>
    </w:p>
    <w:p w14:paraId="5B1438C4" w14:textId="77777777" w:rsidR="007B3A18" w:rsidRPr="00CE7013" w:rsidRDefault="007B3A18">
      <w:pPr>
        <w:rPr>
          <w:rFonts w:ascii="Arial" w:hAnsi="Arial" w:cs="Arial"/>
          <w:b/>
          <w:sz w:val="24"/>
          <w:szCs w:val="24"/>
        </w:rPr>
      </w:pPr>
    </w:p>
    <w:p w14:paraId="31D29025" w14:textId="77777777" w:rsidR="007B3A18" w:rsidRPr="00CE7013" w:rsidRDefault="007B3A18" w:rsidP="00CA0EAB">
      <w:pPr>
        <w:pStyle w:val="ListParagraph"/>
        <w:numPr>
          <w:ilvl w:val="0"/>
          <w:numId w:val="21"/>
        </w:numPr>
        <w:spacing w:after="0" w:line="240" w:lineRule="auto"/>
        <w:rPr>
          <w:rFonts w:ascii="Arial" w:hAnsi="Arial" w:cs="Arial"/>
          <w:b/>
          <w:sz w:val="24"/>
          <w:szCs w:val="24"/>
        </w:rPr>
      </w:pPr>
      <w:r w:rsidRPr="00CE7013">
        <w:rPr>
          <w:rFonts w:ascii="Arial" w:hAnsi="Arial" w:cs="Arial"/>
          <w:b/>
          <w:sz w:val="24"/>
          <w:szCs w:val="24"/>
        </w:rPr>
        <w:t>Professional Services sign off</w:t>
      </w:r>
    </w:p>
    <w:p w14:paraId="3B9A1146" w14:textId="3C408BDA" w:rsidR="00920036" w:rsidRPr="00CE7013" w:rsidRDefault="00920036">
      <w:pPr>
        <w:spacing w:after="0" w:line="240" w:lineRule="auto"/>
        <w:rPr>
          <w:rFonts w:ascii="Arial" w:hAnsi="Arial" w:cs="Arial"/>
          <w:sz w:val="24"/>
          <w:szCs w:val="24"/>
        </w:rPr>
      </w:pPr>
      <w:r w:rsidRPr="00CE7013">
        <w:rPr>
          <w:rFonts w:ascii="Arial" w:hAnsi="Arial" w:cs="Arial"/>
          <w:sz w:val="24"/>
          <w:szCs w:val="24"/>
        </w:rPr>
        <w:t>A</w:t>
      </w:r>
      <w:r w:rsidR="007B3A18" w:rsidRPr="00CE7013">
        <w:rPr>
          <w:rFonts w:ascii="Arial" w:hAnsi="Arial" w:cs="Arial"/>
          <w:sz w:val="24"/>
          <w:szCs w:val="24"/>
        </w:rPr>
        <w:t xml:space="preserve">mendments may need approval from Professional Services across the University, particularly, Timetabling, IT, Library and/or Finance. Significant changes to programme and/or module specifications should also be reviewed by LEaD. </w:t>
      </w:r>
      <w:r w:rsidRPr="00CE7013">
        <w:rPr>
          <w:rFonts w:ascii="Arial" w:hAnsi="Arial" w:cs="Arial"/>
          <w:sz w:val="24"/>
          <w:szCs w:val="24"/>
        </w:rPr>
        <w:t xml:space="preserve"> </w:t>
      </w:r>
      <w:r w:rsidR="007B3A18" w:rsidRPr="00CE7013">
        <w:rPr>
          <w:rFonts w:ascii="Arial" w:hAnsi="Arial" w:cs="Arial"/>
          <w:sz w:val="24"/>
          <w:szCs w:val="24"/>
        </w:rPr>
        <w:t>In many cases the necessary approvals were not including within the submission</w:t>
      </w:r>
      <w:r w:rsidR="00DB3599">
        <w:rPr>
          <w:rFonts w:ascii="Arial" w:hAnsi="Arial" w:cs="Arial"/>
          <w:sz w:val="24"/>
          <w:szCs w:val="24"/>
        </w:rPr>
        <w:t xml:space="preserve"> by Schools</w:t>
      </w:r>
      <w:r w:rsidR="007B3A18" w:rsidRPr="00CE7013">
        <w:rPr>
          <w:rFonts w:ascii="Arial" w:hAnsi="Arial" w:cs="Arial"/>
          <w:sz w:val="24"/>
          <w:szCs w:val="24"/>
        </w:rPr>
        <w:t xml:space="preserve"> leading to delays in approval</w:t>
      </w:r>
      <w:r w:rsidR="00DB3599">
        <w:rPr>
          <w:rFonts w:ascii="Arial" w:hAnsi="Arial" w:cs="Arial"/>
          <w:sz w:val="24"/>
          <w:szCs w:val="24"/>
        </w:rPr>
        <w:t xml:space="preserve"> centrally</w:t>
      </w:r>
      <w:r w:rsidR="007B3A18" w:rsidRPr="00CE7013">
        <w:rPr>
          <w:rFonts w:ascii="Arial" w:hAnsi="Arial" w:cs="Arial"/>
          <w:sz w:val="24"/>
          <w:szCs w:val="24"/>
        </w:rPr>
        <w:t xml:space="preserve">. </w:t>
      </w:r>
    </w:p>
    <w:p w14:paraId="4DBD1D5E" w14:textId="77777777" w:rsidR="00193AEC" w:rsidRPr="00CE7013" w:rsidRDefault="00193AEC" w:rsidP="00193AEC">
      <w:pPr>
        <w:pStyle w:val="ListParagraph"/>
        <w:spacing w:after="0" w:line="240" w:lineRule="auto"/>
        <w:rPr>
          <w:rFonts w:ascii="Arial" w:hAnsi="Arial" w:cs="Arial"/>
          <w:b/>
          <w:sz w:val="24"/>
          <w:szCs w:val="24"/>
        </w:rPr>
      </w:pPr>
    </w:p>
    <w:p w14:paraId="3917E675" w14:textId="76AB1F09" w:rsidR="007B3A18" w:rsidRPr="00CE7013" w:rsidRDefault="007B3A18" w:rsidP="00CA0EAB">
      <w:pPr>
        <w:pStyle w:val="ListParagraph"/>
        <w:numPr>
          <w:ilvl w:val="0"/>
          <w:numId w:val="21"/>
        </w:numPr>
        <w:spacing w:after="0" w:line="240" w:lineRule="auto"/>
        <w:rPr>
          <w:rFonts w:ascii="Arial" w:hAnsi="Arial" w:cs="Arial"/>
          <w:b/>
          <w:sz w:val="24"/>
          <w:szCs w:val="24"/>
        </w:rPr>
      </w:pPr>
      <w:r w:rsidRPr="00CE7013">
        <w:rPr>
          <w:rFonts w:ascii="Arial" w:hAnsi="Arial" w:cs="Arial"/>
          <w:b/>
          <w:sz w:val="24"/>
          <w:szCs w:val="24"/>
        </w:rPr>
        <w:t>Exemptions to Assessment Regulations /</w:t>
      </w:r>
      <w:r w:rsidR="00DB3599">
        <w:rPr>
          <w:rFonts w:ascii="Arial" w:hAnsi="Arial" w:cs="Arial"/>
          <w:b/>
          <w:sz w:val="24"/>
          <w:szCs w:val="24"/>
        </w:rPr>
        <w:t>C</w:t>
      </w:r>
      <w:r w:rsidRPr="00CE7013">
        <w:rPr>
          <w:rFonts w:ascii="Arial" w:hAnsi="Arial" w:cs="Arial"/>
          <w:b/>
          <w:sz w:val="24"/>
          <w:szCs w:val="24"/>
        </w:rPr>
        <w:t xml:space="preserve">redit </w:t>
      </w:r>
      <w:r w:rsidR="00DB3599">
        <w:rPr>
          <w:rFonts w:ascii="Arial" w:hAnsi="Arial" w:cs="Arial"/>
          <w:b/>
          <w:sz w:val="24"/>
          <w:szCs w:val="24"/>
        </w:rPr>
        <w:t>F</w:t>
      </w:r>
      <w:r w:rsidRPr="00CE7013">
        <w:rPr>
          <w:rFonts w:ascii="Arial" w:hAnsi="Arial" w:cs="Arial"/>
          <w:b/>
          <w:sz w:val="24"/>
          <w:szCs w:val="24"/>
        </w:rPr>
        <w:t>ramework</w:t>
      </w:r>
    </w:p>
    <w:p w14:paraId="09C59735" w14:textId="79655FA1" w:rsidR="007B3A18" w:rsidRPr="00CE7013" w:rsidRDefault="00920036" w:rsidP="00920036">
      <w:pPr>
        <w:spacing w:after="0" w:line="240" w:lineRule="auto"/>
        <w:rPr>
          <w:rFonts w:ascii="Arial" w:hAnsi="Arial" w:cs="Arial"/>
          <w:sz w:val="24"/>
          <w:szCs w:val="24"/>
        </w:rPr>
      </w:pPr>
      <w:r w:rsidRPr="00CE7013">
        <w:rPr>
          <w:rFonts w:ascii="Arial" w:hAnsi="Arial" w:cs="Arial"/>
          <w:sz w:val="24"/>
          <w:szCs w:val="24"/>
        </w:rPr>
        <w:lastRenderedPageBreak/>
        <w:t>QUAD</w:t>
      </w:r>
      <w:r w:rsidR="007B3A18" w:rsidRPr="00CE7013">
        <w:rPr>
          <w:rFonts w:ascii="Arial" w:hAnsi="Arial" w:cs="Arial"/>
          <w:sz w:val="24"/>
          <w:szCs w:val="24"/>
        </w:rPr>
        <w:t xml:space="preserve"> continued to receive a handful of requests that required approval of an exemption to the Assessment Regulations or, in one case, the Credit Framework. These were reviewed in detail and were submitted to EQC for approval. </w:t>
      </w:r>
    </w:p>
    <w:p w14:paraId="485227CD" w14:textId="12CDD0CC" w:rsidR="00193AEC" w:rsidRPr="00CE7013" w:rsidRDefault="00193AEC" w:rsidP="00920036">
      <w:pPr>
        <w:tabs>
          <w:tab w:val="left" w:pos="0"/>
        </w:tabs>
        <w:spacing w:after="0" w:line="240" w:lineRule="auto"/>
        <w:rPr>
          <w:rFonts w:ascii="Arial" w:hAnsi="Arial" w:cs="Arial"/>
          <w:sz w:val="24"/>
          <w:szCs w:val="24"/>
        </w:rPr>
      </w:pPr>
    </w:p>
    <w:p w14:paraId="7CCFD61B" w14:textId="64B85C16" w:rsidR="00193AEC" w:rsidRPr="009A464E" w:rsidRDefault="00193AEC" w:rsidP="009A464E">
      <w:pPr>
        <w:pStyle w:val="ListParagraph"/>
        <w:numPr>
          <w:ilvl w:val="0"/>
          <w:numId w:val="31"/>
        </w:numPr>
        <w:tabs>
          <w:tab w:val="left" w:pos="0"/>
        </w:tabs>
        <w:spacing w:after="0" w:line="240" w:lineRule="auto"/>
        <w:rPr>
          <w:rFonts w:ascii="Arial" w:hAnsi="Arial" w:cs="Arial"/>
          <w:b/>
          <w:sz w:val="24"/>
          <w:szCs w:val="24"/>
        </w:rPr>
      </w:pPr>
      <w:r w:rsidRPr="009A464E">
        <w:rPr>
          <w:rFonts w:ascii="Arial" w:hAnsi="Arial" w:cs="Arial"/>
          <w:b/>
          <w:sz w:val="24"/>
          <w:szCs w:val="24"/>
        </w:rPr>
        <w:t>Programme Re-design 2020/21</w:t>
      </w:r>
    </w:p>
    <w:p w14:paraId="53B7C1C0" w14:textId="3C7E2E67" w:rsidR="007B3A18" w:rsidRPr="00CE7013" w:rsidRDefault="00193AEC" w:rsidP="00193AEC">
      <w:pPr>
        <w:tabs>
          <w:tab w:val="left" w:pos="0"/>
        </w:tabs>
        <w:spacing w:after="0" w:line="240" w:lineRule="auto"/>
        <w:rPr>
          <w:rFonts w:ascii="Arial" w:hAnsi="Arial" w:cs="Arial"/>
          <w:sz w:val="24"/>
          <w:szCs w:val="24"/>
        </w:rPr>
      </w:pPr>
      <w:r w:rsidRPr="00CE7013">
        <w:rPr>
          <w:rFonts w:ascii="Arial" w:hAnsi="Arial" w:cs="Arial"/>
          <w:sz w:val="24"/>
          <w:szCs w:val="24"/>
        </w:rPr>
        <w:t xml:space="preserve">Due to the structure of the programme re-design spreadsheet templates (a data dump of all active modules and associated assessments on SITS) it is difficult to provide constructive analysis of the number of changes processed. </w:t>
      </w:r>
      <w:r w:rsidR="00DB3599">
        <w:rPr>
          <w:rFonts w:ascii="Arial" w:hAnsi="Arial" w:cs="Arial"/>
          <w:sz w:val="24"/>
          <w:szCs w:val="24"/>
        </w:rPr>
        <w:t>However, t</w:t>
      </w:r>
      <w:r w:rsidRPr="00CE7013">
        <w:rPr>
          <w:rFonts w:ascii="Arial" w:hAnsi="Arial" w:cs="Arial"/>
          <w:sz w:val="24"/>
          <w:szCs w:val="24"/>
        </w:rPr>
        <w:t>he most common types of amendments received were:</w:t>
      </w:r>
    </w:p>
    <w:p w14:paraId="3077ADD2" w14:textId="7A542521" w:rsidR="00193AEC" w:rsidRPr="00CE7013" w:rsidRDefault="00193AEC" w:rsidP="00193AEC">
      <w:pPr>
        <w:tabs>
          <w:tab w:val="left" w:pos="0"/>
        </w:tabs>
        <w:spacing w:after="0" w:line="240" w:lineRule="auto"/>
        <w:rPr>
          <w:rFonts w:ascii="Arial" w:hAnsi="Arial" w:cs="Arial"/>
          <w:b/>
          <w:sz w:val="24"/>
          <w:szCs w:val="24"/>
          <w:u w:val="single"/>
        </w:rPr>
      </w:pPr>
    </w:p>
    <w:p w14:paraId="09216D03" w14:textId="71762508" w:rsidR="00193AEC" w:rsidRPr="00CE7013" w:rsidRDefault="00193AEC" w:rsidP="00193AEC">
      <w:pPr>
        <w:pStyle w:val="ListParagraph"/>
        <w:numPr>
          <w:ilvl w:val="0"/>
          <w:numId w:val="24"/>
        </w:numPr>
        <w:tabs>
          <w:tab w:val="left" w:pos="0"/>
        </w:tabs>
        <w:spacing w:after="0" w:line="240" w:lineRule="auto"/>
        <w:rPr>
          <w:rFonts w:ascii="Arial" w:hAnsi="Arial" w:cs="Arial"/>
          <w:sz w:val="24"/>
          <w:szCs w:val="24"/>
        </w:rPr>
      </w:pPr>
      <w:r w:rsidRPr="00CE7013">
        <w:rPr>
          <w:rFonts w:ascii="Arial" w:hAnsi="Arial" w:cs="Arial"/>
          <w:sz w:val="24"/>
          <w:szCs w:val="24"/>
        </w:rPr>
        <w:t>Moving assessments online permanently;</w:t>
      </w:r>
    </w:p>
    <w:p w14:paraId="5C779233" w14:textId="54909101" w:rsidR="00193AEC" w:rsidRPr="00CE7013" w:rsidRDefault="00193AEC" w:rsidP="00193AEC">
      <w:pPr>
        <w:pStyle w:val="ListParagraph"/>
        <w:numPr>
          <w:ilvl w:val="0"/>
          <w:numId w:val="24"/>
        </w:numPr>
        <w:tabs>
          <w:tab w:val="left" w:pos="0"/>
        </w:tabs>
        <w:spacing w:after="0" w:line="240" w:lineRule="auto"/>
        <w:rPr>
          <w:rFonts w:ascii="Arial" w:hAnsi="Arial" w:cs="Arial"/>
          <w:sz w:val="24"/>
          <w:szCs w:val="24"/>
        </w:rPr>
      </w:pPr>
      <w:r w:rsidRPr="00CE7013">
        <w:rPr>
          <w:rFonts w:ascii="Arial" w:hAnsi="Arial" w:cs="Arial"/>
          <w:sz w:val="24"/>
          <w:szCs w:val="24"/>
        </w:rPr>
        <w:t xml:space="preserve">Making permanent the temporary COVID </w:t>
      </w:r>
      <w:r w:rsidR="002654DD" w:rsidRPr="00CE7013">
        <w:rPr>
          <w:rFonts w:ascii="Arial" w:hAnsi="Arial" w:cs="Arial"/>
          <w:sz w:val="24"/>
          <w:szCs w:val="24"/>
        </w:rPr>
        <w:t>assessment mitigations such as increased coursework activities and less reliance on written exams;</w:t>
      </w:r>
    </w:p>
    <w:p w14:paraId="39552254" w14:textId="3B3956C0" w:rsidR="002654DD" w:rsidRPr="00CE7013" w:rsidRDefault="002654DD" w:rsidP="00193AEC">
      <w:pPr>
        <w:pStyle w:val="ListParagraph"/>
        <w:numPr>
          <w:ilvl w:val="0"/>
          <w:numId w:val="24"/>
        </w:numPr>
        <w:tabs>
          <w:tab w:val="left" w:pos="0"/>
        </w:tabs>
        <w:spacing w:after="0" w:line="240" w:lineRule="auto"/>
        <w:rPr>
          <w:rFonts w:ascii="Arial" w:hAnsi="Arial" w:cs="Arial"/>
          <w:sz w:val="24"/>
          <w:szCs w:val="24"/>
        </w:rPr>
      </w:pPr>
      <w:r w:rsidRPr="00CE7013">
        <w:rPr>
          <w:rFonts w:ascii="Arial" w:hAnsi="Arial" w:cs="Arial"/>
          <w:sz w:val="24"/>
          <w:szCs w:val="24"/>
        </w:rPr>
        <w:t>Changes to assessment weightings;</w:t>
      </w:r>
    </w:p>
    <w:p w14:paraId="21C1CCCF" w14:textId="234D3EAD" w:rsidR="002654DD" w:rsidRPr="00CE7013" w:rsidRDefault="002654DD" w:rsidP="00193AEC">
      <w:pPr>
        <w:pStyle w:val="ListParagraph"/>
        <w:numPr>
          <w:ilvl w:val="0"/>
          <w:numId w:val="24"/>
        </w:numPr>
        <w:tabs>
          <w:tab w:val="left" w:pos="0"/>
        </w:tabs>
        <w:spacing w:after="0" w:line="240" w:lineRule="auto"/>
        <w:rPr>
          <w:rFonts w:ascii="Arial" w:hAnsi="Arial" w:cs="Arial"/>
          <w:sz w:val="24"/>
          <w:szCs w:val="24"/>
        </w:rPr>
      </w:pPr>
      <w:r w:rsidRPr="00CE7013">
        <w:rPr>
          <w:rFonts w:ascii="Arial" w:hAnsi="Arial" w:cs="Arial"/>
          <w:sz w:val="24"/>
          <w:szCs w:val="24"/>
        </w:rPr>
        <w:t>Suspending modules;</w:t>
      </w:r>
    </w:p>
    <w:p w14:paraId="656A409F" w14:textId="4D71EA3C" w:rsidR="002654DD" w:rsidRPr="00CE7013" w:rsidRDefault="002654DD" w:rsidP="00193AEC">
      <w:pPr>
        <w:pStyle w:val="ListParagraph"/>
        <w:numPr>
          <w:ilvl w:val="0"/>
          <w:numId w:val="24"/>
        </w:numPr>
        <w:tabs>
          <w:tab w:val="left" w:pos="0"/>
        </w:tabs>
        <w:spacing w:after="0" w:line="240" w:lineRule="auto"/>
        <w:rPr>
          <w:rFonts w:ascii="Arial" w:hAnsi="Arial" w:cs="Arial"/>
          <w:sz w:val="24"/>
          <w:szCs w:val="24"/>
        </w:rPr>
      </w:pPr>
      <w:r w:rsidRPr="00CE7013">
        <w:rPr>
          <w:rFonts w:ascii="Arial" w:hAnsi="Arial" w:cs="Arial"/>
          <w:sz w:val="24"/>
          <w:szCs w:val="24"/>
        </w:rPr>
        <w:t>Module title changes.</w:t>
      </w:r>
    </w:p>
    <w:p w14:paraId="2633CF99" w14:textId="6D16F83F" w:rsidR="002654DD" w:rsidRPr="00CE7013" w:rsidRDefault="002654DD" w:rsidP="002654DD">
      <w:pPr>
        <w:tabs>
          <w:tab w:val="left" w:pos="0"/>
        </w:tabs>
        <w:spacing w:after="0" w:line="240" w:lineRule="auto"/>
        <w:rPr>
          <w:rFonts w:ascii="Arial" w:hAnsi="Arial" w:cs="Arial"/>
          <w:sz w:val="24"/>
          <w:szCs w:val="24"/>
        </w:rPr>
      </w:pPr>
    </w:p>
    <w:p w14:paraId="253E887E" w14:textId="0C9BAABF" w:rsidR="002654DD" w:rsidRPr="00CE7013" w:rsidRDefault="002654DD" w:rsidP="002654DD">
      <w:pPr>
        <w:tabs>
          <w:tab w:val="left" w:pos="0"/>
        </w:tabs>
        <w:spacing w:after="0" w:line="240" w:lineRule="auto"/>
        <w:rPr>
          <w:rFonts w:ascii="Arial" w:hAnsi="Arial" w:cs="Arial"/>
          <w:sz w:val="24"/>
          <w:szCs w:val="24"/>
        </w:rPr>
      </w:pPr>
      <w:r w:rsidRPr="00CE7013">
        <w:rPr>
          <w:rFonts w:ascii="Arial" w:hAnsi="Arial" w:cs="Arial"/>
          <w:sz w:val="24"/>
          <w:szCs w:val="24"/>
        </w:rPr>
        <w:t>QUAD received re-desi</w:t>
      </w:r>
      <w:r w:rsidR="00DB3599">
        <w:rPr>
          <w:rFonts w:ascii="Arial" w:hAnsi="Arial" w:cs="Arial"/>
          <w:sz w:val="24"/>
          <w:szCs w:val="24"/>
        </w:rPr>
        <w:t xml:space="preserve">gn submissions from </w:t>
      </w:r>
      <w:r w:rsidRPr="00CE7013">
        <w:rPr>
          <w:rFonts w:ascii="Arial" w:hAnsi="Arial" w:cs="Arial"/>
          <w:sz w:val="24"/>
          <w:szCs w:val="24"/>
        </w:rPr>
        <w:t xml:space="preserve">Schools throughout May and June 2021 </w:t>
      </w:r>
      <w:r w:rsidR="00DB3599" w:rsidRPr="00CE7013">
        <w:rPr>
          <w:rFonts w:ascii="Arial" w:hAnsi="Arial" w:cs="Arial"/>
          <w:sz w:val="24"/>
          <w:szCs w:val="24"/>
        </w:rPr>
        <w:t>and</w:t>
      </w:r>
      <w:r w:rsidRPr="00CE7013">
        <w:rPr>
          <w:rFonts w:ascii="Arial" w:hAnsi="Arial" w:cs="Arial"/>
          <w:sz w:val="24"/>
          <w:szCs w:val="24"/>
        </w:rPr>
        <w:t xml:space="preserve"> once approved, shared with IT to update SITS.</w:t>
      </w:r>
    </w:p>
    <w:p w14:paraId="738D8E4E" w14:textId="5A264C95" w:rsidR="00193AEC" w:rsidRPr="00CE7013" w:rsidRDefault="00193AEC" w:rsidP="00193AEC">
      <w:pPr>
        <w:tabs>
          <w:tab w:val="left" w:pos="0"/>
        </w:tabs>
        <w:spacing w:after="0" w:line="240" w:lineRule="auto"/>
        <w:rPr>
          <w:rFonts w:ascii="Arial" w:hAnsi="Arial" w:cs="Arial"/>
          <w:b/>
          <w:sz w:val="24"/>
          <w:szCs w:val="24"/>
          <w:u w:val="single"/>
        </w:rPr>
      </w:pPr>
    </w:p>
    <w:p w14:paraId="0A54C780" w14:textId="77777777" w:rsidR="00193AEC" w:rsidRPr="00CE7013" w:rsidRDefault="00193AEC" w:rsidP="00193AEC">
      <w:pPr>
        <w:tabs>
          <w:tab w:val="left" w:pos="0"/>
        </w:tabs>
        <w:spacing w:after="0" w:line="240" w:lineRule="auto"/>
        <w:rPr>
          <w:rFonts w:ascii="Arial" w:hAnsi="Arial" w:cs="Arial"/>
          <w:b/>
          <w:sz w:val="24"/>
          <w:szCs w:val="24"/>
          <w:u w:val="single"/>
        </w:rPr>
      </w:pPr>
    </w:p>
    <w:p w14:paraId="464A2018" w14:textId="3A806F05" w:rsidR="004018A4" w:rsidRPr="00CE7013" w:rsidRDefault="00EB203A" w:rsidP="00CA0EAB">
      <w:pPr>
        <w:pStyle w:val="ListParagraph"/>
        <w:numPr>
          <w:ilvl w:val="0"/>
          <w:numId w:val="20"/>
        </w:numPr>
        <w:rPr>
          <w:rFonts w:ascii="Arial" w:hAnsi="Arial" w:cs="Arial"/>
          <w:b/>
          <w:sz w:val="24"/>
          <w:szCs w:val="24"/>
        </w:rPr>
      </w:pPr>
      <w:r w:rsidRPr="00CE7013">
        <w:rPr>
          <w:rFonts w:ascii="Arial" w:hAnsi="Arial" w:cs="Arial"/>
          <w:b/>
          <w:sz w:val="24"/>
          <w:szCs w:val="24"/>
        </w:rPr>
        <w:t xml:space="preserve">Programme </w:t>
      </w:r>
      <w:r w:rsidR="00F97C8D" w:rsidRPr="00CE7013">
        <w:rPr>
          <w:rFonts w:ascii="Arial" w:hAnsi="Arial" w:cs="Arial"/>
          <w:b/>
          <w:sz w:val="24"/>
          <w:szCs w:val="24"/>
        </w:rPr>
        <w:t>Suspensions</w:t>
      </w:r>
      <w:r w:rsidR="002B4A30" w:rsidRPr="00CE7013">
        <w:rPr>
          <w:rFonts w:ascii="Arial" w:hAnsi="Arial" w:cs="Arial"/>
          <w:b/>
          <w:sz w:val="24"/>
          <w:szCs w:val="24"/>
        </w:rPr>
        <w:t xml:space="preserve"> and/or Terminations</w:t>
      </w:r>
    </w:p>
    <w:p w14:paraId="50EA3BCB" w14:textId="64AD3D22" w:rsidR="008A0CEB" w:rsidRPr="00CE7013" w:rsidRDefault="00C5680F" w:rsidP="00C5680F">
      <w:pPr>
        <w:rPr>
          <w:rFonts w:ascii="Arial" w:hAnsi="Arial" w:cs="Arial"/>
          <w:sz w:val="24"/>
          <w:szCs w:val="24"/>
        </w:rPr>
      </w:pPr>
      <w:r w:rsidRPr="00CE7013">
        <w:rPr>
          <w:rFonts w:ascii="Arial" w:hAnsi="Arial" w:cs="Arial"/>
          <w:sz w:val="24"/>
          <w:szCs w:val="24"/>
        </w:rPr>
        <w:t xml:space="preserve">There were several programme </w:t>
      </w:r>
      <w:r w:rsidR="00F97C8D" w:rsidRPr="00CE7013">
        <w:rPr>
          <w:rFonts w:ascii="Arial" w:hAnsi="Arial" w:cs="Arial"/>
          <w:sz w:val="24"/>
          <w:szCs w:val="24"/>
        </w:rPr>
        <w:t>suspensions</w:t>
      </w:r>
      <w:r w:rsidR="000E5CE4" w:rsidRPr="00CE7013">
        <w:rPr>
          <w:rFonts w:ascii="Arial" w:hAnsi="Arial" w:cs="Arial"/>
          <w:sz w:val="24"/>
          <w:szCs w:val="24"/>
        </w:rPr>
        <w:t xml:space="preserve"> and terminations</w:t>
      </w:r>
      <w:r w:rsidRPr="00CE7013">
        <w:rPr>
          <w:rFonts w:ascii="Arial" w:hAnsi="Arial" w:cs="Arial"/>
          <w:sz w:val="24"/>
          <w:szCs w:val="24"/>
        </w:rPr>
        <w:t xml:space="preserve"> in 201</w:t>
      </w:r>
      <w:r w:rsidR="002B4A30" w:rsidRPr="00CE7013">
        <w:rPr>
          <w:rFonts w:ascii="Arial" w:hAnsi="Arial" w:cs="Arial"/>
          <w:sz w:val="24"/>
          <w:szCs w:val="24"/>
        </w:rPr>
        <w:t>9/20</w:t>
      </w:r>
      <w:r w:rsidRPr="00CE7013">
        <w:rPr>
          <w:rFonts w:ascii="Arial" w:hAnsi="Arial" w:cs="Arial"/>
          <w:sz w:val="24"/>
          <w:szCs w:val="24"/>
        </w:rPr>
        <w:t>.</w:t>
      </w:r>
      <w:r w:rsidR="008A0CEB" w:rsidRPr="00CE7013">
        <w:rPr>
          <w:rFonts w:ascii="Arial" w:hAnsi="Arial" w:cs="Arial"/>
          <w:sz w:val="24"/>
          <w:szCs w:val="24"/>
        </w:rPr>
        <w:t xml:space="preserve"> These will come into effect in</w:t>
      </w:r>
      <w:r w:rsidR="00F97C8D" w:rsidRPr="00CE7013">
        <w:rPr>
          <w:rFonts w:ascii="Arial" w:hAnsi="Arial" w:cs="Arial"/>
          <w:sz w:val="24"/>
          <w:szCs w:val="24"/>
        </w:rPr>
        <w:t xml:space="preserve"> 20</w:t>
      </w:r>
      <w:r w:rsidR="002B4A30" w:rsidRPr="00CE7013">
        <w:rPr>
          <w:rFonts w:ascii="Arial" w:hAnsi="Arial" w:cs="Arial"/>
          <w:sz w:val="24"/>
          <w:szCs w:val="24"/>
        </w:rPr>
        <w:t>20/2</w:t>
      </w:r>
      <w:r w:rsidR="00DB3599">
        <w:rPr>
          <w:rFonts w:ascii="Arial" w:hAnsi="Arial" w:cs="Arial"/>
          <w:sz w:val="24"/>
          <w:szCs w:val="24"/>
        </w:rPr>
        <w:t>1.</w:t>
      </w:r>
    </w:p>
    <w:tbl>
      <w:tblPr>
        <w:tblStyle w:val="TableGrid"/>
        <w:tblW w:w="10046" w:type="dxa"/>
        <w:tblInd w:w="-520" w:type="dxa"/>
        <w:tblLook w:val="04A0" w:firstRow="1" w:lastRow="0" w:firstColumn="1" w:lastColumn="0" w:noHBand="0" w:noVBand="1"/>
      </w:tblPr>
      <w:tblGrid>
        <w:gridCol w:w="4417"/>
        <w:gridCol w:w="5629"/>
      </w:tblGrid>
      <w:tr w:rsidR="008A0CEB" w:rsidRPr="00920036" w14:paraId="656A937B" w14:textId="77777777" w:rsidTr="00DB3599">
        <w:trPr>
          <w:trHeight w:val="260"/>
        </w:trPr>
        <w:tc>
          <w:tcPr>
            <w:tcW w:w="4417" w:type="dxa"/>
            <w:shd w:val="clear" w:color="auto" w:fill="BFBFBF" w:themeFill="background1" w:themeFillShade="BF"/>
          </w:tcPr>
          <w:p w14:paraId="7F68E69A" w14:textId="046B7C34" w:rsidR="008A0CEB" w:rsidRPr="00920036" w:rsidRDefault="008A0CEB" w:rsidP="008A0CEB">
            <w:pPr>
              <w:jc w:val="center"/>
              <w:rPr>
                <w:rFonts w:ascii="Arial" w:hAnsi="Arial" w:cs="Arial"/>
                <w:b/>
                <w:sz w:val="24"/>
                <w:szCs w:val="24"/>
              </w:rPr>
            </w:pPr>
            <w:r w:rsidRPr="00920036">
              <w:rPr>
                <w:rFonts w:ascii="Arial" w:hAnsi="Arial" w:cs="Arial"/>
                <w:b/>
                <w:sz w:val="24"/>
                <w:szCs w:val="24"/>
              </w:rPr>
              <w:t>Approved Suspensions</w:t>
            </w:r>
          </w:p>
        </w:tc>
        <w:tc>
          <w:tcPr>
            <w:tcW w:w="5629" w:type="dxa"/>
            <w:shd w:val="clear" w:color="auto" w:fill="BFBFBF" w:themeFill="background1" w:themeFillShade="BF"/>
          </w:tcPr>
          <w:p w14:paraId="7663957B" w14:textId="53116B3E" w:rsidR="008A0CEB" w:rsidRPr="00920036" w:rsidRDefault="008A0CEB" w:rsidP="008A0CEB">
            <w:pPr>
              <w:jc w:val="center"/>
              <w:rPr>
                <w:rFonts w:ascii="Arial" w:hAnsi="Arial" w:cs="Arial"/>
                <w:b/>
                <w:sz w:val="24"/>
                <w:szCs w:val="24"/>
              </w:rPr>
            </w:pPr>
            <w:r w:rsidRPr="00920036">
              <w:rPr>
                <w:rFonts w:ascii="Arial" w:hAnsi="Arial" w:cs="Arial"/>
                <w:b/>
                <w:sz w:val="24"/>
                <w:szCs w:val="24"/>
              </w:rPr>
              <w:t>Approved Terminations</w:t>
            </w:r>
          </w:p>
        </w:tc>
      </w:tr>
      <w:tr w:rsidR="008A0CEB" w:rsidRPr="00920036" w14:paraId="5A59D6A8" w14:textId="77777777" w:rsidTr="00DB3599">
        <w:trPr>
          <w:trHeight w:val="2400"/>
        </w:trPr>
        <w:tc>
          <w:tcPr>
            <w:tcW w:w="4417" w:type="dxa"/>
          </w:tcPr>
          <w:p w14:paraId="28566DC5" w14:textId="77777777" w:rsidR="008A0CEB"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 xml:space="preserve">MSc Civil Engineering Structures (Nuclear Power Plants) </w:t>
            </w:r>
          </w:p>
          <w:p w14:paraId="74419FC6" w14:textId="77777777" w:rsidR="002F0119"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MSc Internet of Things with Entrepreneurship</w:t>
            </w:r>
          </w:p>
          <w:p w14:paraId="0D8C76E5" w14:textId="599C6671" w:rsidR="002F0119"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MSc Business Systems Analysis and Design</w:t>
            </w:r>
          </w:p>
          <w:p w14:paraId="68598DF8" w14:textId="77777777" w:rsidR="002F0119"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Bar Vocational Studies (two-part mode only)</w:t>
            </w:r>
          </w:p>
          <w:p w14:paraId="53B497F0" w14:textId="77777777" w:rsidR="002F0119"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BSc Speech and Language Sciences</w:t>
            </w:r>
          </w:p>
          <w:p w14:paraId="438CDB22" w14:textId="77777777" w:rsidR="002F0119"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MSc in Ophthalmic Nurse Practitioner (Advanced Practice in Health and Social Care)</w:t>
            </w:r>
          </w:p>
          <w:p w14:paraId="6CC24795" w14:textId="77777777" w:rsidR="002F0119" w:rsidRPr="002F0119"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LLM in European Law</w:t>
            </w:r>
          </w:p>
          <w:p w14:paraId="74410A93" w14:textId="77777777" w:rsidR="002F0119" w:rsidRPr="002F0119"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LLM in International Competition Law</w:t>
            </w:r>
          </w:p>
          <w:p w14:paraId="7E3F9585" w14:textId="77777777" w:rsidR="002F0119" w:rsidRPr="002F0119"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LLM in International Dispute Resolution</w:t>
            </w:r>
          </w:p>
          <w:p w14:paraId="685813B6" w14:textId="77777777" w:rsidR="002F0119" w:rsidRPr="002F0119"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LLM in International Economic Law</w:t>
            </w:r>
          </w:p>
          <w:p w14:paraId="15F92BD3" w14:textId="77777777" w:rsidR="002F0119" w:rsidRPr="002F0119"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LLM in International Energy Law and Regulation</w:t>
            </w:r>
          </w:p>
          <w:p w14:paraId="33E68AB7" w14:textId="77777777" w:rsidR="002F0119" w:rsidRDefault="002F0119" w:rsidP="002F0119">
            <w:pPr>
              <w:pStyle w:val="ListParagraph"/>
              <w:numPr>
                <w:ilvl w:val="0"/>
                <w:numId w:val="14"/>
              </w:numPr>
              <w:rPr>
                <w:rFonts w:ascii="Arial" w:hAnsi="Arial" w:cs="Arial"/>
                <w:sz w:val="24"/>
                <w:szCs w:val="24"/>
              </w:rPr>
            </w:pPr>
            <w:r w:rsidRPr="002F0119">
              <w:rPr>
                <w:rFonts w:ascii="Arial" w:hAnsi="Arial" w:cs="Arial"/>
                <w:sz w:val="24"/>
                <w:szCs w:val="24"/>
              </w:rPr>
              <w:t>LLM in Professional Advocacy</w:t>
            </w:r>
          </w:p>
          <w:p w14:paraId="44A8C301" w14:textId="39D1779D" w:rsidR="00310FBB" w:rsidRPr="002F0119" w:rsidRDefault="00310FBB" w:rsidP="00310FBB">
            <w:pPr>
              <w:pStyle w:val="ListParagraph"/>
              <w:rPr>
                <w:rFonts w:ascii="Arial" w:hAnsi="Arial" w:cs="Arial"/>
                <w:sz w:val="24"/>
                <w:szCs w:val="24"/>
              </w:rPr>
            </w:pPr>
          </w:p>
        </w:tc>
        <w:tc>
          <w:tcPr>
            <w:tcW w:w="5629" w:type="dxa"/>
          </w:tcPr>
          <w:p w14:paraId="78EE9EF4" w14:textId="77777777" w:rsidR="008A0CEB" w:rsidRDefault="002F0119" w:rsidP="002F0119">
            <w:pPr>
              <w:pStyle w:val="ListParagraph"/>
              <w:numPr>
                <w:ilvl w:val="0"/>
                <w:numId w:val="15"/>
              </w:numPr>
              <w:rPr>
                <w:rFonts w:ascii="Arial" w:hAnsi="Arial" w:cs="Arial"/>
                <w:sz w:val="24"/>
                <w:szCs w:val="24"/>
              </w:rPr>
            </w:pPr>
            <w:r w:rsidRPr="002F0119">
              <w:rPr>
                <w:rFonts w:ascii="Arial" w:hAnsi="Arial" w:cs="Arial"/>
                <w:sz w:val="24"/>
                <w:szCs w:val="24"/>
              </w:rPr>
              <w:t>Postgraduate Certificate in Academic Practice (Technology Enabled) and Postgraduate Diploma in Academic Practice (Technology Enabled)</w:t>
            </w:r>
          </w:p>
          <w:p w14:paraId="2B5E3CAC" w14:textId="77777777" w:rsidR="00310FBB" w:rsidRDefault="002F0119" w:rsidP="002F0119">
            <w:pPr>
              <w:pStyle w:val="ListParagraph"/>
              <w:numPr>
                <w:ilvl w:val="0"/>
                <w:numId w:val="15"/>
              </w:numPr>
              <w:rPr>
                <w:rFonts w:ascii="Arial" w:hAnsi="Arial" w:cs="Arial"/>
                <w:sz w:val="24"/>
                <w:szCs w:val="24"/>
              </w:rPr>
            </w:pPr>
            <w:r w:rsidRPr="002F0119">
              <w:rPr>
                <w:rFonts w:ascii="Arial" w:hAnsi="Arial" w:cs="Arial"/>
                <w:sz w:val="24"/>
                <w:szCs w:val="24"/>
              </w:rPr>
              <w:t xml:space="preserve">Maritime Law LLM (Dubai) </w:t>
            </w:r>
          </w:p>
          <w:p w14:paraId="194DD7BB" w14:textId="70EF6763" w:rsidR="002F0119" w:rsidRPr="00920036" w:rsidRDefault="002F0119" w:rsidP="002F0119">
            <w:pPr>
              <w:pStyle w:val="ListParagraph"/>
              <w:numPr>
                <w:ilvl w:val="0"/>
                <w:numId w:val="15"/>
              </w:numPr>
              <w:rPr>
                <w:rFonts w:ascii="Arial" w:hAnsi="Arial" w:cs="Arial"/>
                <w:sz w:val="24"/>
                <w:szCs w:val="24"/>
              </w:rPr>
            </w:pPr>
            <w:r w:rsidRPr="002F0119">
              <w:rPr>
                <w:rFonts w:ascii="Arial" w:hAnsi="Arial" w:cs="Arial"/>
                <w:sz w:val="24"/>
                <w:szCs w:val="24"/>
              </w:rPr>
              <w:t>Maritime Law LLM (Greece)</w:t>
            </w:r>
          </w:p>
        </w:tc>
      </w:tr>
    </w:tbl>
    <w:p w14:paraId="1B888CC4" w14:textId="77777777" w:rsidR="00DB3599" w:rsidRDefault="00DB3599" w:rsidP="002B4A30">
      <w:pPr>
        <w:rPr>
          <w:rFonts w:ascii="Arial" w:hAnsi="Arial" w:cs="Arial"/>
          <w:sz w:val="24"/>
          <w:szCs w:val="24"/>
        </w:rPr>
      </w:pPr>
    </w:p>
    <w:p w14:paraId="1A85243A" w14:textId="079C8AE1" w:rsidR="00624A14" w:rsidRDefault="008A0CEB" w:rsidP="002B4A30">
      <w:pPr>
        <w:rPr>
          <w:rFonts w:ascii="Arial" w:hAnsi="Arial" w:cs="Arial"/>
          <w:sz w:val="24"/>
          <w:szCs w:val="24"/>
        </w:rPr>
      </w:pPr>
      <w:r w:rsidRPr="00920036">
        <w:rPr>
          <w:rFonts w:ascii="Arial" w:hAnsi="Arial" w:cs="Arial"/>
          <w:sz w:val="24"/>
          <w:szCs w:val="24"/>
        </w:rPr>
        <w:lastRenderedPageBreak/>
        <w:t xml:space="preserve">There were a </w:t>
      </w:r>
      <w:r w:rsidR="002B4A30" w:rsidRPr="00920036">
        <w:rPr>
          <w:rFonts w:ascii="Arial" w:hAnsi="Arial" w:cs="Arial"/>
          <w:sz w:val="24"/>
          <w:szCs w:val="24"/>
        </w:rPr>
        <w:t xml:space="preserve">number of temporary suspensions (or postponements) of intake </w:t>
      </w:r>
      <w:r w:rsidR="00310FBB">
        <w:rPr>
          <w:rFonts w:ascii="Arial" w:hAnsi="Arial" w:cs="Arial"/>
          <w:sz w:val="24"/>
          <w:szCs w:val="24"/>
        </w:rPr>
        <w:t>for</w:t>
      </w:r>
      <w:r w:rsidR="002B4A30" w:rsidRPr="00920036">
        <w:rPr>
          <w:rFonts w:ascii="Arial" w:hAnsi="Arial" w:cs="Arial"/>
          <w:sz w:val="24"/>
          <w:szCs w:val="24"/>
        </w:rPr>
        <w:t xml:space="preserve"> 202</w:t>
      </w:r>
      <w:r w:rsidR="00310FBB">
        <w:rPr>
          <w:rFonts w:ascii="Arial" w:hAnsi="Arial" w:cs="Arial"/>
          <w:sz w:val="24"/>
          <w:szCs w:val="24"/>
        </w:rPr>
        <w:t>1</w:t>
      </w:r>
      <w:r w:rsidR="002B4A30" w:rsidRPr="00920036">
        <w:rPr>
          <w:rFonts w:ascii="Arial" w:hAnsi="Arial" w:cs="Arial"/>
          <w:sz w:val="24"/>
          <w:szCs w:val="24"/>
        </w:rPr>
        <w:t>/2</w:t>
      </w:r>
      <w:r w:rsidR="00310FBB">
        <w:rPr>
          <w:rFonts w:ascii="Arial" w:hAnsi="Arial" w:cs="Arial"/>
          <w:sz w:val="24"/>
          <w:szCs w:val="24"/>
        </w:rPr>
        <w:t>2 academic year</w:t>
      </w:r>
      <w:r w:rsidR="002B4A30" w:rsidRPr="00920036">
        <w:rPr>
          <w:rFonts w:ascii="Arial" w:hAnsi="Arial" w:cs="Arial"/>
          <w:sz w:val="24"/>
          <w:szCs w:val="24"/>
        </w:rPr>
        <w:t xml:space="preserve"> only, in light of COVID-19</w:t>
      </w:r>
      <w:r w:rsidR="00310FBB">
        <w:rPr>
          <w:rFonts w:ascii="Arial" w:hAnsi="Arial" w:cs="Arial"/>
          <w:sz w:val="24"/>
          <w:szCs w:val="24"/>
        </w:rPr>
        <w:t xml:space="preserve"> and uncertain recruitment. These included:</w:t>
      </w:r>
    </w:p>
    <w:p w14:paraId="5E303C07" w14:textId="3AE26FEA" w:rsidR="00310FBB" w:rsidRDefault="00310FBB" w:rsidP="00310FBB">
      <w:pPr>
        <w:pStyle w:val="ListParagraph"/>
        <w:numPr>
          <w:ilvl w:val="0"/>
          <w:numId w:val="23"/>
        </w:numPr>
        <w:rPr>
          <w:rFonts w:ascii="Arial" w:hAnsi="Arial" w:cs="Arial"/>
          <w:sz w:val="24"/>
          <w:szCs w:val="24"/>
        </w:rPr>
      </w:pPr>
      <w:r>
        <w:rPr>
          <w:rFonts w:ascii="Arial" w:hAnsi="Arial" w:cs="Arial"/>
          <w:sz w:val="24"/>
          <w:szCs w:val="24"/>
        </w:rPr>
        <w:t>MSc Leading Integrated Care</w:t>
      </w:r>
    </w:p>
    <w:p w14:paraId="1BEC2739" w14:textId="79E9403E" w:rsidR="00310FBB" w:rsidRDefault="00310FBB" w:rsidP="00310FBB">
      <w:pPr>
        <w:pStyle w:val="ListParagraph"/>
        <w:numPr>
          <w:ilvl w:val="0"/>
          <w:numId w:val="23"/>
        </w:numPr>
        <w:rPr>
          <w:rFonts w:ascii="Arial" w:hAnsi="Arial" w:cs="Arial"/>
          <w:sz w:val="24"/>
          <w:szCs w:val="24"/>
        </w:rPr>
      </w:pPr>
      <w:r>
        <w:rPr>
          <w:rFonts w:ascii="Arial" w:hAnsi="Arial" w:cs="Arial"/>
          <w:sz w:val="24"/>
          <w:szCs w:val="24"/>
        </w:rPr>
        <w:t xml:space="preserve">MSc Professional Practice </w:t>
      </w:r>
    </w:p>
    <w:p w14:paraId="045275AD" w14:textId="1463BE21" w:rsidR="00310FBB" w:rsidRDefault="00310FBB" w:rsidP="00310FBB">
      <w:pPr>
        <w:pStyle w:val="ListParagraph"/>
        <w:numPr>
          <w:ilvl w:val="0"/>
          <w:numId w:val="23"/>
        </w:numPr>
        <w:rPr>
          <w:rFonts w:ascii="Arial" w:hAnsi="Arial" w:cs="Arial"/>
          <w:sz w:val="24"/>
          <w:szCs w:val="24"/>
        </w:rPr>
      </w:pPr>
      <w:r>
        <w:rPr>
          <w:rFonts w:ascii="Arial" w:hAnsi="Arial" w:cs="Arial"/>
          <w:sz w:val="24"/>
          <w:szCs w:val="24"/>
        </w:rPr>
        <w:t xml:space="preserve">MSc </w:t>
      </w:r>
      <w:r w:rsidRPr="00310FBB">
        <w:rPr>
          <w:rFonts w:ascii="Arial" w:hAnsi="Arial" w:cs="Arial"/>
          <w:sz w:val="24"/>
          <w:szCs w:val="24"/>
        </w:rPr>
        <w:t>in Adult Mental Health (Contemporary Studies)</w:t>
      </w:r>
    </w:p>
    <w:p w14:paraId="5181A911" w14:textId="5B6C8BA4" w:rsidR="00310FBB" w:rsidRPr="00310FBB" w:rsidRDefault="00310FBB" w:rsidP="00310FBB">
      <w:pPr>
        <w:pStyle w:val="ListParagraph"/>
        <w:numPr>
          <w:ilvl w:val="0"/>
          <w:numId w:val="23"/>
        </w:numPr>
        <w:rPr>
          <w:rFonts w:ascii="Arial" w:hAnsi="Arial" w:cs="Arial"/>
          <w:sz w:val="24"/>
          <w:szCs w:val="24"/>
        </w:rPr>
      </w:pPr>
      <w:r w:rsidRPr="00310FBB">
        <w:rPr>
          <w:rFonts w:ascii="Arial" w:hAnsi="Arial" w:cs="Arial"/>
          <w:sz w:val="24"/>
          <w:szCs w:val="24"/>
        </w:rPr>
        <w:t>MSc in Child &amp; Adolescent Mental Health (Contemporary Studies)</w:t>
      </w:r>
    </w:p>
    <w:p w14:paraId="7CDECFFA" w14:textId="7B1993FE" w:rsidR="00C249E4" w:rsidRDefault="00CF661D" w:rsidP="00310FBB">
      <w:pPr>
        <w:rPr>
          <w:rFonts w:ascii="Arial" w:hAnsi="Arial" w:cs="Arial"/>
          <w:sz w:val="24"/>
          <w:szCs w:val="24"/>
        </w:rPr>
      </w:pPr>
      <w:r w:rsidRPr="00920036">
        <w:rPr>
          <w:rFonts w:ascii="Arial" w:hAnsi="Arial" w:cs="Arial"/>
          <w:sz w:val="24"/>
          <w:szCs w:val="24"/>
        </w:rPr>
        <w:t>The majority of the above suspensions</w:t>
      </w:r>
      <w:r w:rsidR="000E5CE4" w:rsidRPr="00920036">
        <w:rPr>
          <w:rFonts w:ascii="Arial" w:hAnsi="Arial" w:cs="Arial"/>
          <w:sz w:val="24"/>
          <w:szCs w:val="24"/>
        </w:rPr>
        <w:t xml:space="preserve"> and terminations</w:t>
      </w:r>
      <w:r w:rsidRPr="00920036">
        <w:rPr>
          <w:rFonts w:ascii="Arial" w:hAnsi="Arial" w:cs="Arial"/>
          <w:sz w:val="24"/>
          <w:szCs w:val="24"/>
        </w:rPr>
        <w:t xml:space="preserve"> were approved on the basis of a lack of applicants or demand for the programmes</w:t>
      </w:r>
      <w:r w:rsidR="00310FBB">
        <w:rPr>
          <w:rFonts w:ascii="Arial" w:hAnsi="Arial" w:cs="Arial"/>
          <w:sz w:val="24"/>
          <w:szCs w:val="24"/>
        </w:rPr>
        <w:t xml:space="preserve"> due to COVID-19</w:t>
      </w:r>
      <w:r w:rsidRPr="00920036">
        <w:rPr>
          <w:rFonts w:ascii="Arial" w:hAnsi="Arial" w:cs="Arial"/>
          <w:sz w:val="24"/>
          <w:szCs w:val="24"/>
        </w:rPr>
        <w:t xml:space="preserve">. All were approved by the </w:t>
      </w:r>
      <w:r w:rsidR="00310FBB">
        <w:rPr>
          <w:rFonts w:ascii="Arial" w:hAnsi="Arial" w:cs="Arial"/>
          <w:sz w:val="24"/>
          <w:szCs w:val="24"/>
        </w:rPr>
        <w:t xml:space="preserve">Vice </w:t>
      </w:r>
      <w:r w:rsidRPr="00920036">
        <w:rPr>
          <w:rFonts w:ascii="Arial" w:hAnsi="Arial" w:cs="Arial"/>
          <w:sz w:val="24"/>
          <w:szCs w:val="24"/>
        </w:rPr>
        <w:t>President</w:t>
      </w:r>
      <w:r w:rsidR="00310FBB">
        <w:rPr>
          <w:rFonts w:ascii="Arial" w:hAnsi="Arial" w:cs="Arial"/>
          <w:sz w:val="24"/>
          <w:szCs w:val="24"/>
        </w:rPr>
        <w:t xml:space="preserve"> (Education)</w:t>
      </w:r>
      <w:r w:rsidRPr="00920036">
        <w:rPr>
          <w:rFonts w:ascii="Arial" w:hAnsi="Arial" w:cs="Arial"/>
          <w:sz w:val="24"/>
          <w:szCs w:val="24"/>
        </w:rPr>
        <w:t xml:space="preserve"> and QUAD </w:t>
      </w:r>
      <w:r w:rsidR="00DB3599">
        <w:rPr>
          <w:rFonts w:ascii="Arial" w:hAnsi="Arial" w:cs="Arial"/>
          <w:sz w:val="24"/>
          <w:szCs w:val="24"/>
        </w:rPr>
        <w:t xml:space="preserve">drafted and </w:t>
      </w:r>
      <w:r w:rsidRPr="00920036">
        <w:rPr>
          <w:rFonts w:ascii="Arial" w:hAnsi="Arial" w:cs="Arial"/>
          <w:sz w:val="24"/>
          <w:szCs w:val="24"/>
        </w:rPr>
        <w:t>had sight of communication to be sent to all current students, offer holders and applica</w:t>
      </w:r>
      <w:r w:rsidR="000E5CE4" w:rsidRPr="00920036">
        <w:rPr>
          <w:rFonts w:ascii="Arial" w:hAnsi="Arial" w:cs="Arial"/>
          <w:sz w:val="24"/>
          <w:szCs w:val="24"/>
        </w:rPr>
        <w:t xml:space="preserve">nts </w:t>
      </w:r>
      <w:r w:rsidRPr="00920036">
        <w:rPr>
          <w:rFonts w:ascii="Arial" w:hAnsi="Arial" w:cs="Arial"/>
          <w:sz w:val="24"/>
          <w:szCs w:val="24"/>
        </w:rPr>
        <w:t>in line with CMA expectations</w:t>
      </w:r>
      <w:r w:rsidR="00310FBB">
        <w:rPr>
          <w:rFonts w:ascii="Arial" w:hAnsi="Arial" w:cs="Arial"/>
          <w:sz w:val="24"/>
          <w:szCs w:val="24"/>
        </w:rPr>
        <w:t>.</w:t>
      </w:r>
    </w:p>
    <w:p w14:paraId="260DFEC3" w14:textId="69695926" w:rsidR="00DB3599" w:rsidRPr="00C249E4" w:rsidRDefault="00DB3599" w:rsidP="009A464E">
      <w:pPr>
        <w:spacing w:after="0"/>
        <w:rPr>
          <w:rFonts w:ascii="Arial" w:hAnsi="Arial" w:cs="Arial"/>
          <w:sz w:val="24"/>
          <w:szCs w:val="24"/>
        </w:rPr>
      </w:pPr>
      <w:r w:rsidRPr="00C249E4">
        <w:rPr>
          <w:rFonts w:ascii="Arial" w:hAnsi="Arial" w:cs="Arial"/>
          <w:sz w:val="24"/>
          <w:szCs w:val="24"/>
        </w:rPr>
        <w:t>David Ross</w:t>
      </w:r>
      <w:r>
        <w:rPr>
          <w:rFonts w:ascii="Arial" w:hAnsi="Arial" w:cs="Arial"/>
          <w:sz w:val="24"/>
          <w:szCs w:val="24"/>
        </w:rPr>
        <w:t xml:space="preserve">, </w:t>
      </w:r>
      <w:r w:rsidRPr="00C249E4">
        <w:rPr>
          <w:rFonts w:ascii="Arial" w:hAnsi="Arial" w:cs="Arial"/>
          <w:sz w:val="24"/>
          <w:szCs w:val="24"/>
        </w:rPr>
        <w:t>Quality and Standards Officer</w:t>
      </w:r>
      <w:r>
        <w:rPr>
          <w:rFonts w:ascii="Arial" w:hAnsi="Arial" w:cs="Arial"/>
          <w:sz w:val="24"/>
          <w:szCs w:val="24"/>
        </w:rPr>
        <w:t>,</w:t>
      </w:r>
      <w:r w:rsidRPr="00C249E4">
        <w:rPr>
          <w:rFonts w:ascii="Arial" w:hAnsi="Arial" w:cs="Arial"/>
          <w:sz w:val="24"/>
          <w:szCs w:val="24"/>
        </w:rPr>
        <w:t xml:space="preserve"> Student and Academic Services</w:t>
      </w:r>
    </w:p>
    <w:p w14:paraId="3F41A2C7" w14:textId="2628E680" w:rsidR="009C0D6F" w:rsidRDefault="000A5616" w:rsidP="00C249E4">
      <w:pPr>
        <w:spacing w:after="0"/>
      </w:pPr>
      <w:r w:rsidRPr="00C249E4">
        <w:rPr>
          <w:rFonts w:ascii="Arial" w:hAnsi="Arial" w:cs="Arial"/>
          <w:sz w:val="24"/>
          <w:szCs w:val="24"/>
        </w:rPr>
        <w:t>Seán Hogan</w:t>
      </w:r>
      <w:r w:rsidR="00C249E4">
        <w:rPr>
          <w:rFonts w:ascii="Arial" w:hAnsi="Arial" w:cs="Arial"/>
          <w:sz w:val="24"/>
          <w:szCs w:val="24"/>
        </w:rPr>
        <w:t xml:space="preserve">, </w:t>
      </w:r>
      <w:r w:rsidR="00C249E4" w:rsidRPr="00C249E4">
        <w:rPr>
          <w:rFonts w:ascii="Arial" w:hAnsi="Arial" w:cs="Arial"/>
          <w:sz w:val="24"/>
          <w:szCs w:val="24"/>
        </w:rPr>
        <w:t>Quality and Standards Officer</w:t>
      </w:r>
      <w:r w:rsidR="00C249E4">
        <w:rPr>
          <w:rFonts w:ascii="Arial" w:hAnsi="Arial" w:cs="Arial"/>
          <w:sz w:val="24"/>
          <w:szCs w:val="24"/>
        </w:rPr>
        <w:t xml:space="preserve">, </w:t>
      </w:r>
      <w:r w:rsidR="00C249E4" w:rsidRPr="00C249E4">
        <w:rPr>
          <w:rFonts w:ascii="Arial" w:hAnsi="Arial" w:cs="Arial"/>
          <w:sz w:val="24"/>
          <w:szCs w:val="24"/>
        </w:rPr>
        <w:t>Student and Academic Services</w:t>
      </w:r>
    </w:p>
    <w:p w14:paraId="772933EC" w14:textId="77777777" w:rsidR="009C0D6F" w:rsidRDefault="009C0D6F" w:rsidP="007B47B9">
      <w:pPr>
        <w:spacing w:after="0"/>
        <w:rPr>
          <w:b/>
          <w:sz w:val="24"/>
          <w:szCs w:val="24"/>
        </w:rPr>
        <w:sectPr w:rsidR="009C0D6F" w:rsidSect="00FB004B">
          <w:pgSz w:w="11906" w:h="16838"/>
          <w:pgMar w:top="720" w:right="720" w:bottom="720" w:left="720" w:header="708" w:footer="708" w:gutter="0"/>
          <w:cols w:space="708"/>
          <w:docGrid w:linePitch="360"/>
        </w:sectPr>
      </w:pPr>
    </w:p>
    <w:p w14:paraId="4B81926C" w14:textId="4634EB07" w:rsidR="00215038" w:rsidRPr="00D7189F" w:rsidRDefault="00215038" w:rsidP="007B47B9">
      <w:pPr>
        <w:spacing w:after="0"/>
        <w:rPr>
          <w:b/>
          <w:sz w:val="24"/>
          <w:szCs w:val="24"/>
        </w:rPr>
      </w:pPr>
      <w:r w:rsidRPr="00D7189F">
        <w:rPr>
          <w:b/>
          <w:sz w:val="24"/>
          <w:szCs w:val="24"/>
        </w:rPr>
        <w:lastRenderedPageBreak/>
        <w:t>Appendix A – Recommendations</w:t>
      </w:r>
    </w:p>
    <w:p w14:paraId="4B40CC09" w14:textId="3FE67415" w:rsidR="00215038" w:rsidRDefault="00215038" w:rsidP="007B47B9">
      <w:pPr>
        <w:spacing w:after="0"/>
      </w:pPr>
    </w:p>
    <w:tbl>
      <w:tblPr>
        <w:tblStyle w:val="TableGrid"/>
        <w:tblW w:w="14170" w:type="dxa"/>
        <w:tblLook w:val="04A0" w:firstRow="1" w:lastRow="0" w:firstColumn="1" w:lastColumn="0" w:noHBand="0" w:noVBand="1"/>
      </w:tblPr>
      <w:tblGrid>
        <w:gridCol w:w="440"/>
        <w:gridCol w:w="2106"/>
        <w:gridCol w:w="3559"/>
        <w:gridCol w:w="1598"/>
        <w:gridCol w:w="1770"/>
        <w:gridCol w:w="4697"/>
      </w:tblGrid>
      <w:tr w:rsidR="007D006A" w:rsidRPr="00215038" w14:paraId="5BA1F5AC" w14:textId="27155E71" w:rsidTr="00F7201F">
        <w:trPr>
          <w:trHeight w:val="665"/>
          <w:tblHeader/>
        </w:trPr>
        <w:tc>
          <w:tcPr>
            <w:tcW w:w="440" w:type="dxa"/>
            <w:shd w:val="clear" w:color="auto" w:fill="DEEAF6" w:themeFill="accent1" w:themeFillTint="33"/>
          </w:tcPr>
          <w:p w14:paraId="1C7EC7EA" w14:textId="77777777" w:rsidR="00F7201F" w:rsidRPr="009C0D6F" w:rsidRDefault="00F7201F" w:rsidP="00215038">
            <w:pPr>
              <w:rPr>
                <w:b/>
              </w:rPr>
            </w:pPr>
          </w:p>
        </w:tc>
        <w:tc>
          <w:tcPr>
            <w:tcW w:w="2106" w:type="dxa"/>
            <w:shd w:val="clear" w:color="auto" w:fill="DEEAF6" w:themeFill="accent1" w:themeFillTint="33"/>
          </w:tcPr>
          <w:p w14:paraId="04D965F2" w14:textId="471DC75D" w:rsidR="00F7201F" w:rsidRPr="00AE3B60" w:rsidRDefault="00F7201F" w:rsidP="00215038">
            <w:pPr>
              <w:rPr>
                <w:b/>
              </w:rPr>
            </w:pPr>
            <w:r w:rsidRPr="00AE3B60">
              <w:rPr>
                <w:b/>
              </w:rPr>
              <w:t>Area</w:t>
            </w:r>
          </w:p>
        </w:tc>
        <w:tc>
          <w:tcPr>
            <w:tcW w:w="3559" w:type="dxa"/>
            <w:shd w:val="clear" w:color="auto" w:fill="DEEAF6" w:themeFill="accent1" w:themeFillTint="33"/>
          </w:tcPr>
          <w:p w14:paraId="28A21E2F" w14:textId="06A50C66" w:rsidR="00F7201F" w:rsidRPr="00215038" w:rsidRDefault="00F7201F" w:rsidP="00215038">
            <w:pPr>
              <w:rPr>
                <w:b/>
              </w:rPr>
            </w:pPr>
            <w:r w:rsidRPr="00215038">
              <w:rPr>
                <w:b/>
              </w:rPr>
              <w:t>Recommendation:</w:t>
            </w:r>
          </w:p>
        </w:tc>
        <w:tc>
          <w:tcPr>
            <w:tcW w:w="1598" w:type="dxa"/>
            <w:shd w:val="clear" w:color="auto" w:fill="DEEAF6" w:themeFill="accent1" w:themeFillTint="33"/>
          </w:tcPr>
          <w:p w14:paraId="6E6CAEBD" w14:textId="5A6727FF" w:rsidR="00F7201F" w:rsidRPr="00215038" w:rsidRDefault="00F7201F" w:rsidP="007B47B9">
            <w:pPr>
              <w:rPr>
                <w:b/>
              </w:rPr>
            </w:pPr>
            <w:r>
              <w:rPr>
                <w:b/>
              </w:rPr>
              <w:t>Approval Type:</w:t>
            </w:r>
          </w:p>
        </w:tc>
        <w:tc>
          <w:tcPr>
            <w:tcW w:w="1770" w:type="dxa"/>
            <w:shd w:val="clear" w:color="auto" w:fill="DEEAF6" w:themeFill="accent1" w:themeFillTint="33"/>
          </w:tcPr>
          <w:p w14:paraId="5A78754E" w14:textId="52277819" w:rsidR="00F7201F" w:rsidRPr="00215038" w:rsidRDefault="00F7201F" w:rsidP="007B47B9">
            <w:pPr>
              <w:rPr>
                <w:b/>
              </w:rPr>
            </w:pPr>
            <w:r w:rsidRPr="00215038">
              <w:rPr>
                <w:b/>
              </w:rPr>
              <w:t>Responsible:</w:t>
            </w:r>
          </w:p>
        </w:tc>
        <w:tc>
          <w:tcPr>
            <w:tcW w:w="4697" w:type="dxa"/>
            <w:shd w:val="clear" w:color="auto" w:fill="DEEAF6" w:themeFill="accent1" w:themeFillTint="33"/>
          </w:tcPr>
          <w:p w14:paraId="5A3919DC" w14:textId="61D6312E" w:rsidR="00F7201F" w:rsidRPr="00215038" w:rsidRDefault="00F7201F" w:rsidP="007B47B9">
            <w:pPr>
              <w:rPr>
                <w:b/>
              </w:rPr>
            </w:pPr>
            <w:r>
              <w:rPr>
                <w:b/>
              </w:rPr>
              <w:t>Measures</w:t>
            </w:r>
            <w:r w:rsidRPr="00215038">
              <w:rPr>
                <w:b/>
              </w:rPr>
              <w:t>:</w:t>
            </w:r>
          </w:p>
        </w:tc>
      </w:tr>
      <w:tr w:rsidR="007D006A" w:rsidRPr="006E18D3" w14:paraId="3ABDE4E8" w14:textId="78115BAE" w:rsidTr="00F7201F">
        <w:tc>
          <w:tcPr>
            <w:tcW w:w="440" w:type="dxa"/>
          </w:tcPr>
          <w:p w14:paraId="040C9977" w14:textId="3E33390E" w:rsidR="00F7201F" w:rsidRPr="006E18D3" w:rsidRDefault="00F7201F" w:rsidP="007B47B9">
            <w:pPr>
              <w:rPr>
                <w:b/>
              </w:rPr>
            </w:pPr>
            <w:r w:rsidRPr="006E18D3">
              <w:rPr>
                <w:b/>
              </w:rPr>
              <w:t>1</w:t>
            </w:r>
          </w:p>
        </w:tc>
        <w:tc>
          <w:tcPr>
            <w:tcW w:w="2106" w:type="dxa"/>
          </w:tcPr>
          <w:p w14:paraId="6B8B8215" w14:textId="404A1C8E" w:rsidR="00F7201F" w:rsidRPr="00AE3B60" w:rsidRDefault="00F7201F" w:rsidP="007B47B9">
            <w:pPr>
              <w:rPr>
                <w:b/>
              </w:rPr>
            </w:pPr>
            <w:r w:rsidRPr="00AE3B60">
              <w:rPr>
                <w:b/>
              </w:rPr>
              <w:t>Support Service Approvals</w:t>
            </w:r>
          </w:p>
        </w:tc>
        <w:tc>
          <w:tcPr>
            <w:tcW w:w="3559" w:type="dxa"/>
          </w:tcPr>
          <w:p w14:paraId="26CBB4B4" w14:textId="1085B381" w:rsidR="00F7201F" w:rsidRDefault="00F7201F" w:rsidP="007B47B9">
            <w:r w:rsidRPr="006E18D3">
              <w:t>Programme Teams to review the required timescales for Professional Services (LEaD, Timetabling, Finance, etc.) approval</w:t>
            </w:r>
            <w:r w:rsidR="007D006A">
              <w:t>,</w:t>
            </w:r>
          </w:p>
          <w:p w14:paraId="058BBCF1" w14:textId="77777777" w:rsidR="00F7201F" w:rsidRDefault="00F7201F" w:rsidP="007B47B9"/>
          <w:p w14:paraId="6F5A9EC6" w14:textId="595C7496" w:rsidR="00F7201F" w:rsidRPr="006E18D3" w:rsidRDefault="00F7201F" w:rsidP="007B47B9"/>
        </w:tc>
        <w:tc>
          <w:tcPr>
            <w:tcW w:w="1598" w:type="dxa"/>
          </w:tcPr>
          <w:p w14:paraId="3F05E55A" w14:textId="77777777" w:rsidR="00F7201F" w:rsidRDefault="00F7201F" w:rsidP="007B47B9">
            <w:r w:rsidRPr="006E18D3">
              <w:t>Programme Approval Stage 1 &amp; 2</w:t>
            </w:r>
          </w:p>
          <w:p w14:paraId="0A2EA6B7" w14:textId="77777777" w:rsidR="00F7201F" w:rsidRDefault="00F7201F" w:rsidP="007B47B9"/>
          <w:p w14:paraId="028A033A" w14:textId="14C8ECFF" w:rsidR="00F7201F" w:rsidRPr="006E18D3" w:rsidRDefault="007D006A" w:rsidP="007B47B9">
            <w:r>
              <w:t xml:space="preserve">Major &amp; Minor </w:t>
            </w:r>
            <w:r w:rsidR="00F7201F">
              <w:t xml:space="preserve">Amendments </w:t>
            </w:r>
          </w:p>
        </w:tc>
        <w:tc>
          <w:tcPr>
            <w:tcW w:w="1770" w:type="dxa"/>
          </w:tcPr>
          <w:p w14:paraId="03AA6DC3" w14:textId="2D3A2D4B" w:rsidR="00F7201F" w:rsidRPr="006E18D3" w:rsidRDefault="00F7201F" w:rsidP="007B47B9">
            <w:r w:rsidRPr="006E18D3">
              <w:t>Programme Teams / Quality staff</w:t>
            </w:r>
          </w:p>
        </w:tc>
        <w:tc>
          <w:tcPr>
            <w:tcW w:w="4697" w:type="dxa"/>
          </w:tcPr>
          <w:p w14:paraId="4B49BF37" w14:textId="2EDD9464" w:rsidR="00F7201F" w:rsidRDefault="00F7201F" w:rsidP="007B47B9">
            <w:r w:rsidRPr="006E18D3">
              <w:t>Timelines are published in the Programme Approval Guidance (</w:t>
            </w:r>
            <w:hyperlink r:id="rId15" w:history="1">
              <w:r w:rsidRPr="006E18D3">
                <w:rPr>
                  <w:rStyle w:val="Hyperlink"/>
                </w:rPr>
                <w:t>here</w:t>
              </w:r>
            </w:hyperlink>
            <w:r w:rsidRPr="006E18D3">
              <w:t>). Schools should ensure the</w:t>
            </w:r>
            <w:r>
              <w:t>y</w:t>
            </w:r>
            <w:r w:rsidRPr="006E18D3">
              <w:t xml:space="preserve"> adhere to these as far as practically possible and comments from Professional Service should reflect this improvement. </w:t>
            </w:r>
          </w:p>
          <w:p w14:paraId="45493B10" w14:textId="256BA28D" w:rsidR="007D006A" w:rsidRDefault="007D006A" w:rsidP="007B47B9"/>
          <w:p w14:paraId="15F3F84B" w14:textId="4E116161" w:rsidR="007D006A" w:rsidRDefault="007D006A" w:rsidP="007D006A">
            <w:r w:rsidRPr="006E18D3">
              <w:t>LEaD should be contact</w:t>
            </w:r>
            <w:r w:rsidR="000A1395">
              <w:t>ed</w:t>
            </w:r>
            <w:r w:rsidRPr="006E18D3">
              <w:t xml:space="preserve"> in good time and changes should be implemented on programme and module specs prior to submission to PARC and UPAC. </w:t>
            </w:r>
            <w:r w:rsidR="002654DD">
              <w:t>Thereby, quality of submissions should increase.</w:t>
            </w:r>
          </w:p>
          <w:p w14:paraId="49DBF287" w14:textId="77777777" w:rsidR="007D006A" w:rsidRDefault="007D006A" w:rsidP="007B47B9"/>
          <w:p w14:paraId="39E090FC" w14:textId="77777777" w:rsidR="007D006A" w:rsidRDefault="007D006A" w:rsidP="002654DD">
            <w:r>
              <w:t>Minor amendment timelines for approval will be circulated via Programme Approval and Review Committee (PARC) Secretaries.</w:t>
            </w:r>
          </w:p>
          <w:p w14:paraId="3C419354" w14:textId="67B8DC19" w:rsidR="002654DD" w:rsidRPr="006E18D3" w:rsidRDefault="002654DD" w:rsidP="002654DD"/>
        </w:tc>
      </w:tr>
      <w:tr w:rsidR="007D006A" w:rsidRPr="006E18D3" w14:paraId="5C8A91BD" w14:textId="271AB9D2" w:rsidTr="00F7201F">
        <w:tc>
          <w:tcPr>
            <w:tcW w:w="440" w:type="dxa"/>
          </w:tcPr>
          <w:p w14:paraId="630BA05B" w14:textId="744408BE" w:rsidR="00F7201F" w:rsidRPr="006E18D3" w:rsidRDefault="00F7201F" w:rsidP="00D7189F">
            <w:pPr>
              <w:rPr>
                <w:b/>
              </w:rPr>
            </w:pPr>
            <w:r>
              <w:rPr>
                <w:b/>
              </w:rPr>
              <w:t>2</w:t>
            </w:r>
          </w:p>
        </w:tc>
        <w:tc>
          <w:tcPr>
            <w:tcW w:w="2106" w:type="dxa"/>
          </w:tcPr>
          <w:p w14:paraId="196BF311" w14:textId="12FD0560" w:rsidR="00F7201F" w:rsidRPr="00AE3B60" w:rsidRDefault="00F7201F" w:rsidP="00D7189F">
            <w:pPr>
              <w:rPr>
                <w:b/>
              </w:rPr>
            </w:pPr>
            <w:r w:rsidRPr="00AE3B60">
              <w:rPr>
                <w:b/>
              </w:rPr>
              <w:t xml:space="preserve">Collaborative Working </w:t>
            </w:r>
          </w:p>
        </w:tc>
        <w:tc>
          <w:tcPr>
            <w:tcW w:w="3559" w:type="dxa"/>
          </w:tcPr>
          <w:p w14:paraId="6D11C086" w14:textId="5E092503" w:rsidR="00F7201F" w:rsidRPr="006E18D3" w:rsidRDefault="00F7201F" w:rsidP="00D7189F">
            <w:r w:rsidRPr="006E18D3">
              <w:t xml:space="preserve">Schools to speak to S&amp;AS prior to submitting atypical programmes </w:t>
            </w:r>
            <w:r>
              <w:t xml:space="preserve">(e.g. exemption to credit framework) </w:t>
            </w:r>
            <w:r w:rsidRPr="006E18D3">
              <w:t xml:space="preserve">to </w:t>
            </w:r>
            <w:r>
              <w:t>Programme Approval and Review Committee (</w:t>
            </w:r>
            <w:r w:rsidRPr="006E18D3">
              <w:t>PARC</w:t>
            </w:r>
            <w:r>
              <w:t>)</w:t>
            </w:r>
            <w:r w:rsidRPr="006E18D3">
              <w:t xml:space="preserve"> to ensure that all requirements are included in the submission. </w:t>
            </w:r>
          </w:p>
        </w:tc>
        <w:tc>
          <w:tcPr>
            <w:tcW w:w="1598" w:type="dxa"/>
          </w:tcPr>
          <w:p w14:paraId="7C340F80" w14:textId="77777777" w:rsidR="00F7201F" w:rsidRDefault="00F7201F" w:rsidP="00D7189F">
            <w:r w:rsidRPr="006E18D3">
              <w:t>Programme Approval Stage 1 &amp;2</w:t>
            </w:r>
          </w:p>
          <w:p w14:paraId="6026B901" w14:textId="77777777" w:rsidR="00F7201F" w:rsidRDefault="00F7201F" w:rsidP="00D7189F"/>
          <w:p w14:paraId="5D13D063" w14:textId="1287ED3D" w:rsidR="00F7201F" w:rsidRPr="006E18D3" w:rsidRDefault="007D006A" w:rsidP="00D7189F">
            <w:r>
              <w:t>Major &amp; Minor Amendments</w:t>
            </w:r>
          </w:p>
        </w:tc>
        <w:tc>
          <w:tcPr>
            <w:tcW w:w="1770" w:type="dxa"/>
          </w:tcPr>
          <w:p w14:paraId="5C2E3B9B" w14:textId="2D2620CD" w:rsidR="00F7201F" w:rsidRPr="006E18D3" w:rsidRDefault="00F7201F" w:rsidP="00D7189F">
            <w:r w:rsidRPr="006E18D3">
              <w:t>Quality staff / QUAD</w:t>
            </w:r>
          </w:p>
        </w:tc>
        <w:tc>
          <w:tcPr>
            <w:tcW w:w="4697" w:type="dxa"/>
          </w:tcPr>
          <w:p w14:paraId="74B19ABF" w14:textId="4F5A127E" w:rsidR="00F7201F" w:rsidRPr="006E18D3" w:rsidRDefault="00F7201F" w:rsidP="00D7189F">
            <w:r w:rsidRPr="006E18D3">
              <w:t>The quality of submissions for atypical programmes (collaborative provision, apprenticeships, etc.) should increase and there should be less UPAC conditions.</w:t>
            </w:r>
          </w:p>
        </w:tc>
      </w:tr>
      <w:tr w:rsidR="007D006A" w:rsidRPr="006E18D3" w14:paraId="290EE6D4" w14:textId="01CE46D9" w:rsidTr="00F7201F">
        <w:tc>
          <w:tcPr>
            <w:tcW w:w="440" w:type="dxa"/>
          </w:tcPr>
          <w:p w14:paraId="1BD8B0D5" w14:textId="711059A8" w:rsidR="00F7201F" w:rsidRPr="006E18D3" w:rsidRDefault="007D006A" w:rsidP="00D7189F">
            <w:pPr>
              <w:rPr>
                <w:b/>
              </w:rPr>
            </w:pPr>
            <w:r>
              <w:rPr>
                <w:b/>
              </w:rPr>
              <w:t>3</w:t>
            </w:r>
          </w:p>
        </w:tc>
        <w:tc>
          <w:tcPr>
            <w:tcW w:w="2106" w:type="dxa"/>
          </w:tcPr>
          <w:p w14:paraId="2C4BB723" w14:textId="59A78D13" w:rsidR="00F7201F" w:rsidRPr="00AE3B60" w:rsidRDefault="00F7201F" w:rsidP="00D7189F">
            <w:pPr>
              <w:rPr>
                <w:b/>
              </w:rPr>
            </w:pPr>
            <w:r w:rsidRPr="00AE3B60">
              <w:rPr>
                <w:b/>
              </w:rPr>
              <w:t xml:space="preserve">Programme/Module Documentation  </w:t>
            </w:r>
          </w:p>
        </w:tc>
        <w:tc>
          <w:tcPr>
            <w:tcW w:w="3559" w:type="dxa"/>
          </w:tcPr>
          <w:p w14:paraId="4C9AE57E" w14:textId="77777777" w:rsidR="00F7201F" w:rsidRDefault="00F7201F" w:rsidP="00D7189F">
            <w:r w:rsidRPr="006E18D3">
              <w:t xml:space="preserve">Programme Teams to </w:t>
            </w:r>
          </w:p>
          <w:p w14:paraId="4501CC66" w14:textId="58206FF9" w:rsidR="00F7201F" w:rsidRDefault="00F7201F" w:rsidP="00C249E4">
            <w:pPr>
              <w:pStyle w:val="ListParagraph"/>
              <w:numPr>
                <w:ilvl w:val="0"/>
                <w:numId w:val="22"/>
              </w:numPr>
            </w:pPr>
            <w:r w:rsidRPr="006E18D3">
              <w:t>use the updated programme and module specification template which can be found (</w:t>
            </w:r>
            <w:hyperlink r:id="rId16" w:history="1">
              <w:r w:rsidRPr="006E18D3">
                <w:rPr>
                  <w:rStyle w:val="Hyperlink"/>
                </w:rPr>
                <w:t>here</w:t>
              </w:r>
            </w:hyperlink>
            <w:r w:rsidRPr="006E18D3">
              <w:t>)</w:t>
            </w:r>
          </w:p>
          <w:p w14:paraId="57D5CCB8" w14:textId="41B680E8" w:rsidR="00F7201F" w:rsidRDefault="00F7201F" w:rsidP="0092677C">
            <w:pPr>
              <w:pStyle w:val="ListParagraph"/>
              <w:numPr>
                <w:ilvl w:val="0"/>
                <w:numId w:val="22"/>
              </w:numPr>
            </w:pPr>
            <w:r w:rsidRPr="006E18D3">
              <w:lastRenderedPageBreak/>
              <w:t>consider reading lists when drafting or updating future module specifications.</w:t>
            </w:r>
          </w:p>
          <w:p w14:paraId="54009CB8" w14:textId="2B8002E3" w:rsidR="00F7201F" w:rsidRDefault="00F7201F" w:rsidP="0092677C">
            <w:pPr>
              <w:pStyle w:val="ListParagraph"/>
              <w:numPr>
                <w:ilvl w:val="0"/>
                <w:numId w:val="22"/>
              </w:numPr>
            </w:pPr>
            <w:r w:rsidRPr="006E18D3">
              <w:t>ensure correct use of minimum qualifying marks, assessment type, teaching type, etc.</w:t>
            </w:r>
          </w:p>
          <w:p w14:paraId="68FB8340" w14:textId="0A8E023F" w:rsidR="00F7201F" w:rsidRDefault="00F7201F" w:rsidP="0092677C">
            <w:pPr>
              <w:pStyle w:val="ListParagraph"/>
              <w:numPr>
                <w:ilvl w:val="0"/>
                <w:numId w:val="22"/>
              </w:numPr>
            </w:pPr>
            <w:r>
              <w:t xml:space="preserve">liaise with Course Operations Managers to consider any SITS set up issues that need to be included in the documentation. </w:t>
            </w:r>
          </w:p>
          <w:p w14:paraId="22646388" w14:textId="79B94810" w:rsidR="00F7201F" w:rsidRDefault="00F7201F">
            <w:pPr>
              <w:pStyle w:val="ListParagraph"/>
              <w:numPr>
                <w:ilvl w:val="0"/>
                <w:numId w:val="22"/>
              </w:numPr>
            </w:pPr>
            <w:r w:rsidRPr="00AE3B60">
              <w:t>ensure that all modules included in a programme</w:t>
            </w:r>
            <w:r>
              <w:t xml:space="preserve"> (including ‘old’ modules)</w:t>
            </w:r>
            <w:r w:rsidRPr="00AE3B60">
              <w:t>, even those which are already approved elsewhere, should be included with each submission</w:t>
            </w:r>
          </w:p>
          <w:p w14:paraId="737A43E0" w14:textId="200E9803" w:rsidR="00F7201F" w:rsidRPr="006E18D3" w:rsidRDefault="00F7201F"/>
        </w:tc>
        <w:tc>
          <w:tcPr>
            <w:tcW w:w="1598" w:type="dxa"/>
          </w:tcPr>
          <w:p w14:paraId="16833C39" w14:textId="77777777" w:rsidR="00F7201F" w:rsidRDefault="00F7201F" w:rsidP="00D7189F">
            <w:r w:rsidRPr="006E18D3">
              <w:lastRenderedPageBreak/>
              <w:t>Programme Approval Stage 2</w:t>
            </w:r>
          </w:p>
          <w:p w14:paraId="7115938C" w14:textId="77777777" w:rsidR="00F7201F" w:rsidRDefault="00F7201F" w:rsidP="00D7189F"/>
          <w:p w14:paraId="348AE74E" w14:textId="2B233E53" w:rsidR="00F7201F" w:rsidRPr="006E18D3" w:rsidRDefault="007D006A" w:rsidP="00D7189F">
            <w:r>
              <w:lastRenderedPageBreak/>
              <w:t>Major &amp; Minor Amendments</w:t>
            </w:r>
          </w:p>
        </w:tc>
        <w:tc>
          <w:tcPr>
            <w:tcW w:w="1770" w:type="dxa"/>
          </w:tcPr>
          <w:p w14:paraId="4FD869C9" w14:textId="078D1405" w:rsidR="00F7201F" w:rsidRPr="006E18D3" w:rsidRDefault="00F7201F" w:rsidP="00D7189F">
            <w:r w:rsidRPr="006E18D3">
              <w:lastRenderedPageBreak/>
              <w:t xml:space="preserve">Programme Teams </w:t>
            </w:r>
          </w:p>
        </w:tc>
        <w:tc>
          <w:tcPr>
            <w:tcW w:w="4697" w:type="dxa"/>
          </w:tcPr>
          <w:p w14:paraId="1F27F809" w14:textId="77777777" w:rsidR="00F7201F" w:rsidRDefault="00F7201F" w:rsidP="00D7189F">
            <w:r w:rsidRPr="006E18D3">
              <w:t>Quality of reading lists, more up to date texts and a broader cultural authorship should be evident at UPAC.</w:t>
            </w:r>
          </w:p>
          <w:p w14:paraId="06FB3440" w14:textId="77777777" w:rsidR="00F7201F" w:rsidRDefault="00F7201F" w:rsidP="00D7189F"/>
          <w:p w14:paraId="3C5F24AD" w14:textId="4F6B7A8C" w:rsidR="00F7201F" w:rsidRPr="006E18D3" w:rsidRDefault="00F7201F" w:rsidP="00D7189F">
            <w:r w:rsidRPr="006E18D3">
              <w:lastRenderedPageBreak/>
              <w:t>Greater consistency between ‘old’ and ‘new’ module specifications.</w:t>
            </w:r>
            <w:r>
              <w:t xml:space="preserve"> Programmes can be set up more smoothly on SITS. </w:t>
            </w:r>
          </w:p>
        </w:tc>
      </w:tr>
      <w:tr w:rsidR="007D006A" w:rsidRPr="006E18D3" w14:paraId="2392C3D4" w14:textId="77777777" w:rsidTr="00F7201F">
        <w:tc>
          <w:tcPr>
            <w:tcW w:w="440" w:type="dxa"/>
          </w:tcPr>
          <w:p w14:paraId="1E7880D6" w14:textId="006AF9EB" w:rsidR="00F7201F" w:rsidRPr="006E18D3" w:rsidRDefault="002654DD" w:rsidP="00920036">
            <w:pPr>
              <w:rPr>
                <w:b/>
              </w:rPr>
            </w:pPr>
            <w:r>
              <w:rPr>
                <w:b/>
              </w:rPr>
              <w:lastRenderedPageBreak/>
              <w:t>4</w:t>
            </w:r>
          </w:p>
        </w:tc>
        <w:tc>
          <w:tcPr>
            <w:tcW w:w="2106" w:type="dxa"/>
          </w:tcPr>
          <w:p w14:paraId="0FF34393" w14:textId="0076E1F7" w:rsidR="00F7201F" w:rsidRPr="00AE3B60" w:rsidRDefault="00F7201F" w:rsidP="00920036">
            <w:pPr>
              <w:rPr>
                <w:b/>
              </w:rPr>
            </w:pPr>
            <w:r w:rsidRPr="00AE3B60">
              <w:rPr>
                <w:b/>
              </w:rPr>
              <w:t xml:space="preserve">Student Voice </w:t>
            </w:r>
            <w:r>
              <w:rPr>
                <w:b/>
              </w:rPr>
              <w:t xml:space="preserve">and Consultation </w:t>
            </w:r>
          </w:p>
        </w:tc>
        <w:tc>
          <w:tcPr>
            <w:tcW w:w="3559" w:type="dxa"/>
          </w:tcPr>
          <w:p w14:paraId="5182CF00" w14:textId="61E79AC1" w:rsidR="00F7201F" w:rsidRDefault="00F7201F" w:rsidP="00F7201F">
            <w:pPr>
              <w:autoSpaceDE w:val="0"/>
              <w:autoSpaceDN w:val="0"/>
              <w:adjustRightInd w:val="0"/>
              <w:rPr>
                <w:rFonts w:ascii="Calibri" w:hAnsi="Calibri" w:cs="Calibri"/>
                <w:sz w:val="21"/>
                <w:szCs w:val="21"/>
              </w:rPr>
            </w:pPr>
            <w:r>
              <w:rPr>
                <w:rFonts w:ascii="Calibri" w:hAnsi="Calibri" w:cs="Calibri"/>
                <w:sz w:val="21"/>
                <w:szCs w:val="21"/>
              </w:rPr>
              <w:t xml:space="preserve">QUAD to signpost </w:t>
            </w:r>
            <w:r w:rsidRPr="006E18D3">
              <w:rPr>
                <w:rFonts w:ascii="Calibri" w:hAnsi="Calibri" w:cs="Calibri"/>
                <w:sz w:val="21"/>
                <w:szCs w:val="21"/>
              </w:rPr>
              <w:t>best‐practice guidelines around student consultation on</w:t>
            </w:r>
            <w:r>
              <w:rPr>
                <w:rFonts w:ascii="Calibri" w:hAnsi="Calibri" w:cs="Calibri"/>
                <w:sz w:val="21"/>
                <w:szCs w:val="21"/>
              </w:rPr>
              <w:t xml:space="preserve"> </w:t>
            </w:r>
            <w:r w:rsidRPr="006E18D3">
              <w:rPr>
                <w:rFonts w:ascii="Calibri" w:hAnsi="Calibri" w:cs="Calibri"/>
                <w:sz w:val="21"/>
                <w:szCs w:val="21"/>
              </w:rPr>
              <w:t>change.</w:t>
            </w:r>
          </w:p>
          <w:p w14:paraId="2DCA393B" w14:textId="4202635A" w:rsidR="00F7201F" w:rsidRDefault="00F7201F" w:rsidP="00F7201F">
            <w:pPr>
              <w:autoSpaceDE w:val="0"/>
              <w:autoSpaceDN w:val="0"/>
              <w:adjustRightInd w:val="0"/>
              <w:rPr>
                <w:rFonts w:ascii="Calibri" w:hAnsi="Calibri" w:cs="Calibri"/>
                <w:sz w:val="21"/>
                <w:szCs w:val="21"/>
              </w:rPr>
            </w:pPr>
          </w:p>
          <w:p w14:paraId="027409DD" w14:textId="6E315CCB" w:rsidR="00F7201F" w:rsidRPr="006E18D3" w:rsidRDefault="00F7201F" w:rsidP="00C249E4">
            <w:pPr>
              <w:autoSpaceDE w:val="0"/>
              <w:autoSpaceDN w:val="0"/>
              <w:adjustRightInd w:val="0"/>
            </w:pPr>
            <w:r>
              <w:t>QUAD to</w:t>
            </w:r>
            <w:r w:rsidR="007D006A">
              <w:t xml:space="preserve"> continue to</w:t>
            </w:r>
            <w:r>
              <w:t xml:space="preserve"> highlight the importance of engaging with students to enhance and safeguard the student experience (CMA requirements</w:t>
            </w:r>
            <w:r w:rsidR="007D006A">
              <w:t>).</w:t>
            </w:r>
            <w:r>
              <w:t xml:space="preserve"> </w:t>
            </w:r>
          </w:p>
        </w:tc>
        <w:tc>
          <w:tcPr>
            <w:tcW w:w="1598" w:type="dxa"/>
          </w:tcPr>
          <w:p w14:paraId="38AB2440" w14:textId="76C1C703" w:rsidR="00F7201F" w:rsidRPr="006E18D3" w:rsidRDefault="007D006A" w:rsidP="00920036">
            <w:r>
              <w:t>Major &amp; Minor Amendments</w:t>
            </w:r>
          </w:p>
        </w:tc>
        <w:tc>
          <w:tcPr>
            <w:tcW w:w="1770" w:type="dxa"/>
          </w:tcPr>
          <w:p w14:paraId="189A713D" w14:textId="02FCB441" w:rsidR="00F7201F" w:rsidRPr="006E18D3" w:rsidRDefault="00F7201F" w:rsidP="00920036">
            <w:r>
              <w:t>QUAD</w:t>
            </w:r>
          </w:p>
        </w:tc>
        <w:tc>
          <w:tcPr>
            <w:tcW w:w="4697" w:type="dxa"/>
          </w:tcPr>
          <w:p w14:paraId="77F6EE4C" w14:textId="35415DEC" w:rsidR="00F7201F" w:rsidRPr="006E18D3" w:rsidRDefault="00F7201F" w:rsidP="00920036">
            <w:r w:rsidRPr="006E18D3">
              <w:t>Greater student satisfaction rates in student evaluations as students feel engaged in supporting programme developments and changes.</w:t>
            </w:r>
          </w:p>
        </w:tc>
      </w:tr>
      <w:tr w:rsidR="007D006A" w:rsidRPr="006E18D3" w14:paraId="3D9D25A2" w14:textId="77777777" w:rsidTr="00F7201F">
        <w:tc>
          <w:tcPr>
            <w:tcW w:w="440" w:type="dxa"/>
          </w:tcPr>
          <w:p w14:paraId="6EEB77EC" w14:textId="2D4937D3" w:rsidR="00F7201F" w:rsidRDefault="002654DD" w:rsidP="00920036">
            <w:pPr>
              <w:rPr>
                <w:b/>
              </w:rPr>
            </w:pPr>
            <w:r>
              <w:rPr>
                <w:b/>
              </w:rPr>
              <w:lastRenderedPageBreak/>
              <w:t>5</w:t>
            </w:r>
          </w:p>
        </w:tc>
        <w:tc>
          <w:tcPr>
            <w:tcW w:w="2106" w:type="dxa"/>
          </w:tcPr>
          <w:p w14:paraId="5A6493EA" w14:textId="71B16312" w:rsidR="00F7201F" w:rsidRPr="00AE3B60" w:rsidRDefault="002654DD" w:rsidP="00920036">
            <w:pPr>
              <w:rPr>
                <w:b/>
              </w:rPr>
            </w:pPr>
            <w:r>
              <w:rPr>
                <w:b/>
              </w:rPr>
              <w:t>Programme Suspensions</w:t>
            </w:r>
            <w:r w:rsidR="00F7201F" w:rsidRPr="00AE3B60">
              <w:rPr>
                <w:b/>
              </w:rPr>
              <w:t xml:space="preserve"> </w:t>
            </w:r>
          </w:p>
        </w:tc>
        <w:tc>
          <w:tcPr>
            <w:tcW w:w="3559" w:type="dxa"/>
          </w:tcPr>
          <w:p w14:paraId="4C3C4E48" w14:textId="478DFD9C" w:rsidR="00F7201F" w:rsidRDefault="00F7201F" w:rsidP="00920036">
            <w:r>
              <w:t xml:space="preserve">QUAD to </w:t>
            </w:r>
            <w:r w:rsidR="002654DD">
              <w:t>make clearer the process to be followed when suspending or terminating a programme.</w:t>
            </w:r>
          </w:p>
          <w:p w14:paraId="056EB8FF" w14:textId="03BBB06F" w:rsidR="002654DD" w:rsidRDefault="002654DD" w:rsidP="00920036"/>
          <w:p w14:paraId="526C42BA" w14:textId="34B2E4CB" w:rsidR="002654DD" w:rsidRPr="006E18D3" w:rsidRDefault="002654DD" w:rsidP="00920036">
            <w:r>
              <w:t>Office for Global Engagement to be consulted with when the programme is a pathway from INTO or Kaplan.</w:t>
            </w:r>
          </w:p>
          <w:p w14:paraId="5F8B6986" w14:textId="77777777" w:rsidR="00F7201F" w:rsidRPr="006E18D3" w:rsidRDefault="00F7201F" w:rsidP="00920036"/>
        </w:tc>
        <w:tc>
          <w:tcPr>
            <w:tcW w:w="1598" w:type="dxa"/>
          </w:tcPr>
          <w:p w14:paraId="08281B33" w14:textId="10ED60BF" w:rsidR="00F7201F" w:rsidRDefault="002654DD" w:rsidP="00920036">
            <w:r>
              <w:t xml:space="preserve">Programme Suspension </w:t>
            </w:r>
            <w:r w:rsidR="0037450F">
              <w:t>F</w:t>
            </w:r>
            <w:r>
              <w:t>orm</w:t>
            </w:r>
          </w:p>
          <w:p w14:paraId="2065B218" w14:textId="77777777" w:rsidR="002654DD" w:rsidRDefault="002654DD" w:rsidP="00920036"/>
          <w:p w14:paraId="025C1AA4" w14:textId="0FC27DF6" w:rsidR="002654DD" w:rsidRPr="006E18D3" w:rsidRDefault="002654DD" w:rsidP="00920036">
            <w:r>
              <w:t xml:space="preserve">Programme </w:t>
            </w:r>
            <w:r w:rsidR="0037450F">
              <w:t>T</w:t>
            </w:r>
            <w:r>
              <w:t xml:space="preserve">ermination </w:t>
            </w:r>
            <w:r w:rsidR="0037450F">
              <w:t>F</w:t>
            </w:r>
            <w:r>
              <w:t>orm</w:t>
            </w:r>
          </w:p>
        </w:tc>
        <w:tc>
          <w:tcPr>
            <w:tcW w:w="1770" w:type="dxa"/>
          </w:tcPr>
          <w:p w14:paraId="2276BAB4" w14:textId="078C4679" w:rsidR="00F7201F" w:rsidRPr="006E18D3" w:rsidRDefault="00F7201F" w:rsidP="00920036">
            <w:r w:rsidRPr="006E18D3">
              <w:t xml:space="preserve">QUAD  </w:t>
            </w:r>
          </w:p>
        </w:tc>
        <w:tc>
          <w:tcPr>
            <w:tcW w:w="4697" w:type="dxa"/>
          </w:tcPr>
          <w:p w14:paraId="0514DEEF" w14:textId="0D7A5BB7" w:rsidR="00F7201F" w:rsidRDefault="00F7201F" w:rsidP="00920036">
            <w:r w:rsidRPr="006E18D3">
              <w:t>Greater clarity for Schools</w:t>
            </w:r>
            <w:r w:rsidR="002654DD">
              <w:t xml:space="preserve"> </w:t>
            </w:r>
            <w:r w:rsidRPr="006E18D3">
              <w:t>and support services</w:t>
            </w:r>
            <w:r w:rsidR="002654DD">
              <w:t>.</w:t>
            </w:r>
          </w:p>
          <w:p w14:paraId="2A1D2298" w14:textId="3AC4F404" w:rsidR="002654DD" w:rsidRDefault="002654DD" w:rsidP="00920036"/>
          <w:p w14:paraId="30D20C47" w14:textId="153D8160" w:rsidR="002654DD" w:rsidRPr="006E18D3" w:rsidRDefault="002654DD" w:rsidP="00920036">
            <w:proofErr w:type="spellStart"/>
            <w:r>
              <w:t>OfGE</w:t>
            </w:r>
            <w:proofErr w:type="spellEnd"/>
            <w:r>
              <w:t>, INTO and Kaplan more involved in the process, where necessary</w:t>
            </w:r>
          </w:p>
          <w:p w14:paraId="3FE55CEA" w14:textId="77777777" w:rsidR="00F7201F" w:rsidRPr="006E18D3" w:rsidRDefault="00F7201F" w:rsidP="00920036"/>
        </w:tc>
      </w:tr>
    </w:tbl>
    <w:p w14:paraId="180ED66A" w14:textId="2E497ED3" w:rsidR="002C31B1" w:rsidRPr="006E18D3" w:rsidRDefault="002C31B1" w:rsidP="00C91ABF">
      <w:pPr>
        <w:spacing w:after="0"/>
      </w:pPr>
    </w:p>
    <w:p w14:paraId="31E8F23D" w14:textId="2E62E053" w:rsidR="00FE59D9" w:rsidRDefault="00FE59D9" w:rsidP="00C91ABF">
      <w:pPr>
        <w:spacing w:after="0"/>
      </w:pPr>
    </w:p>
    <w:p w14:paraId="22449FCE" w14:textId="3DB35889" w:rsidR="00920036" w:rsidRDefault="00920036" w:rsidP="00C91ABF">
      <w:pPr>
        <w:spacing w:after="0"/>
      </w:pPr>
    </w:p>
    <w:p w14:paraId="24584A2D" w14:textId="6A2261FC" w:rsidR="00920036" w:rsidRDefault="00920036" w:rsidP="00C91ABF">
      <w:pPr>
        <w:spacing w:after="0"/>
      </w:pPr>
    </w:p>
    <w:p w14:paraId="1E8B67D4" w14:textId="77777777" w:rsidR="002022A9" w:rsidRDefault="002022A9" w:rsidP="00C91ABF">
      <w:pPr>
        <w:spacing w:after="0"/>
      </w:pPr>
    </w:p>
    <w:p w14:paraId="2495ED0C" w14:textId="26B3A3B4" w:rsidR="00920036" w:rsidRDefault="00920036" w:rsidP="00C91ABF">
      <w:pPr>
        <w:spacing w:after="0"/>
      </w:pPr>
    </w:p>
    <w:p w14:paraId="549BE8A9" w14:textId="7C39850A" w:rsidR="00920036" w:rsidRDefault="00920036" w:rsidP="00C91ABF">
      <w:pPr>
        <w:spacing w:after="0"/>
      </w:pPr>
    </w:p>
    <w:p w14:paraId="6A6B866B" w14:textId="77777777" w:rsidR="00FE59D9" w:rsidRDefault="00FE59D9" w:rsidP="00920036">
      <w:pPr>
        <w:spacing w:after="0" w:line="240" w:lineRule="auto"/>
      </w:pPr>
    </w:p>
    <w:sectPr w:rsidR="00FE59D9" w:rsidSect="009C0D6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3AC9" w14:textId="77777777" w:rsidR="00665B29" w:rsidRDefault="00665B29" w:rsidP="00B4242E">
      <w:pPr>
        <w:spacing w:after="0" w:line="240" w:lineRule="auto"/>
      </w:pPr>
      <w:r>
        <w:separator/>
      </w:r>
    </w:p>
  </w:endnote>
  <w:endnote w:type="continuationSeparator" w:id="0">
    <w:p w14:paraId="401AACE3" w14:textId="77777777" w:rsidR="00665B29" w:rsidRDefault="00665B29" w:rsidP="00B4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6A33" w14:textId="77777777" w:rsidR="007D0CB1" w:rsidRDefault="007D0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577438"/>
      <w:docPartObj>
        <w:docPartGallery w:val="Page Numbers (Bottom of Page)"/>
        <w:docPartUnique/>
      </w:docPartObj>
    </w:sdtPr>
    <w:sdtEndPr/>
    <w:sdtContent>
      <w:sdt>
        <w:sdtPr>
          <w:id w:val="-615907038"/>
          <w:docPartObj>
            <w:docPartGallery w:val="Page Numbers (Top of Page)"/>
            <w:docPartUnique/>
          </w:docPartObj>
        </w:sdtPr>
        <w:sdtEndPr/>
        <w:sdtContent>
          <w:p w14:paraId="00F26798" w14:textId="3D97AED6" w:rsidR="007D0CB1" w:rsidRDefault="007D0C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6E7CEE4F" w14:textId="77777777" w:rsidR="007D0CB1" w:rsidRDefault="007D0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F22C" w14:textId="77777777" w:rsidR="007D0CB1" w:rsidRDefault="007D0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5921" w14:textId="77777777" w:rsidR="00665B29" w:rsidRDefault="00665B29" w:rsidP="00B4242E">
      <w:pPr>
        <w:spacing w:after="0" w:line="240" w:lineRule="auto"/>
      </w:pPr>
      <w:r>
        <w:separator/>
      </w:r>
    </w:p>
  </w:footnote>
  <w:footnote w:type="continuationSeparator" w:id="0">
    <w:p w14:paraId="1C431F1A" w14:textId="77777777" w:rsidR="00665B29" w:rsidRDefault="00665B29" w:rsidP="00B4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88F3" w14:textId="77777777" w:rsidR="007D0CB1" w:rsidRDefault="007D0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757E" w14:textId="77777777" w:rsidR="007D0CB1" w:rsidRDefault="007D0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4C3D" w14:textId="77777777" w:rsidR="007D0CB1" w:rsidRDefault="007D0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FA5E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84268"/>
    <w:multiLevelType w:val="hybridMultilevel"/>
    <w:tmpl w:val="B38C890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B1735"/>
    <w:multiLevelType w:val="hybridMultilevel"/>
    <w:tmpl w:val="4DCC042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2971D2"/>
    <w:multiLevelType w:val="hybridMultilevel"/>
    <w:tmpl w:val="AF84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D35F4"/>
    <w:multiLevelType w:val="hybridMultilevel"/>
    <w:tmpl w:val="BA0289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53FC7"/>
    <w:multiLevelType w:val="hybridMultilevel"/>
    <w:tmpl w:val="CE4C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F7596"/>
    <w:multiLevelType w:val="hybridMultilevel"/>
    <w:tmpl w:val="11AE81EA"/>
    <w:lvl w:ilvl="0" w:tplc="BA6E936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181DE8"/>
    <w:multiLevelType w:val="hybridMultilevel"/>
    <w:tmpl w:val="1A22E8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26A0F"/>
    <w:multiLevelType w:val="hybridMultilevel"/>
    <w:tmpl w:val="D23E24E2"/>
    <w:lvl w:ilvl="0" w:tplc="760C4EC2">
      <w:start w:val="1"/>
      <w:numFmt w:val="lowerLetter"/>
      <w:lvlText w:val="%1."/>
      <w:lvlJc w:val="left"/>
      <w:pPr>
        <w:ind w:left="720" w:hanging="360"/>
      </w:pPr>
      <w:rPr>
        <w:rFonts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A78D8"/>
    <w:multiLevelType w:val="hybridMultilevel"/>
    <w:tmpl w:val="889C4C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5C27DD"/>
    <w:multiLevelType w:val="hybridMultilevel"/>
    <w:tmpl w:val="CD4A3262"/>
    <w:lvl w:ilvl="0" w:tplc="2A6CB6D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D7DAA"/>
    <w:multiLevelType w:val="hybridMultilevel"/>
    <w:tmpl w:val="D23E24E2"/>
    <w:lvl w:ilvl="0" w:tplc="760C4EC2">
      <w:start w:val="1"/>
      <w:numFmt w:val="lowerLetter"/>
      <w:lvlText w:val="%1."/>
      <w:lvlJc w:val="left"/>
      <w:pPr>
        <w:ind w:left="720" w:hanging="360"/>
      </w:pPr>
      <w:rPr>
        <w:rFonts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2110F"/>
    <w:multiLevelType w:val="hybridMultilevel"/>
    <w:tmpl w:val="3118D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2C72F7"/>
    <w:multiLevelType w:val="hybridMultilevel"/>
    <w:tmpl w:val="51AEE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5E14C1"/>
    <w:multiLevelType w:val="hybridMultilevel"/>
    <w:tmpl w:val="E9CA74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71998"/>
    <w:multiLevelType w:val="hybridMultilevel"/>
    <w:tmpl w:val="03B0C500"/>
    <w:lvl w:ilvl="0" w:tplc="08090019">
      <w:start w:val="1"/>
      <w:numFmt w:val="lowerLetter"/>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A4B49"/>
    <w:multiLevelType w:val="hybridMultilevel"/>
    <w:tmpl w:val="17F21B74"/>
    <w:lvl w:ilvl="0" w:tplc="7E1C86FA">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481043"/>
    <w:multiLevelType w:val="hybridMultilevel"/>
    <w:tmpl w:val="2346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84172"/>
    <w:multiLevelType w:val="hybridMultilevel"/>
    <w:tmpl w:val="C388A9BC"/>
    <w:lvl w:ilvl="0" w:tplc="4118C090">
      <w:start w:val="1"/>
      <w:numFmt w:val="lowerRoman"/>
      <w:lvlText w:val="%1."/>
      <w:lvlJc w:val="right"/>
      <w:pPr>
        <w:ind w:left="720" w:hanging="360"/>
      </w:pPr>
      <w:rPr>
        <w:rFonts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D25BC"/>
    <w:multiLevelType w:val="hybridMultilevel"/>
    <w:tmpl w:val="B2B2E478"/>
    <w:lvl w:ilvl="0" w:tplc="08090001">
      <w:start w:val="1"/>
      <w:numFmt w:val="bullet"/>
      <w:lvlText w:val=""/>
      <w:lvlJc w:val="left"/>
      <w:pPr>
        <w:ind w:left="720" w:hanging="360"/>
      </w:pPr>
      <w:rPr>
        <w:rFonts w:ascii="Symbol" w:hAnsi="Symbol"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5E0BE3"/>
    <w:multiLevelType w:val="hybridMultilevel"/>
    <w:tmpl w:val="669C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46086"/>
    <w:multiLevelType w:val="hybridMultilevel"/>
    <w:tmpl w:val="665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12BA1"/>
    <w:multiLevelType w:val="hybridMultilevel"/>
    <w:tmpl w:val="EF46F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70FE9"/>
    <w:multiLevelType w:val="hybridMultilevel"/>
    <w:tmpl w:val="43BCD9F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6D62096C"/>
    <w:multiLevelType w:val="hybridMultilevel"/>
    <w:tmpl w:val="0FD6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A0F2C"/>
    <w:multiLevelType w:val="hybridMultilevel"/>
    <w:tmpl w:val="A5FE7D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992E44"/>
    <w:multiLevelType w:val="hybridMultilevel"/>
    <w:tmpl w:val="593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9D4352"/>
    <w:multiLevelType w:val="hybridMultilevel"/>
    <w:tmpl w:val="CD4A3262"/>
    <w:lvl w:ilvl="0" w:tplc="2A6CB6D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7A55C0"/>
    <w:multiLevelType w:val="hybridMultilevel"/>
    <w:tmpl w:val="FBBE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CD7189"/>
    <w:multiLevelType w:val="hybridMultilevel"/>
    <w:tmpl w:val="D02CB26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06327"/>
    <w:multiLevelType w:val="hybridMultilevel"/>
    <w:tmpl w:val="8A8ED182"/>
    <w:lvl w:ilvl="0" w:tplc="5784CD0A">
      <w:numFmt w:val="bullet"/>
      <w:lvlText w:val=""/>
      <w:lvlJc w:val="left"/>
      <w:pPr>
        <w:ind w:left="644"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6"/>
  </w:num>
  <w:num w:numId="4">
    <w:abstractNumId w:val="0"/>
  </w:num>
  <w:num w:numId="5">
    <w:abstractNumId w:val="21"/>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5"/>
  </w:num>
  <w:num w:numId="9">
    <w:abstractNumId w:val="1"/>
  </w:num>
  <w:num w:numId="10">
    <w:abstractNumId w:val="12"/>
  </w:num>
  <w:num w:numId="11">
    <w:abstractNumId w:val="4"/>
  </w:num>
  <w:num w:numId="12">
    <w:abstractNumId w:val="2"/>
  </w:num>
  <w:num w:numId="13">
    <w:abstractNumId w:val="18"/>
  </w:num>
  <w:num w:numId="14">
    <w:abstractNumId w:val="3"/>
  </w:num>
  <w:num w:numId="15">
    <w:abstractNumId w:val="26"/>
  </w:num>
  <w:num w:numId="16">
    <w:abstractNumId w:val="11"/>
  </w:num>
  <w:num w:numId="17">
    <w:abstractNumId w:val="9"/>
  </w:num>
  <w:num w:numId="18">
    <w:abstractNumId w:val="27"/>
  </w:num>
  <w:num w:numId="19">
    <w:abstractNumId w:val="10"/>
  </w:num>
  <w:num w:numId="20">
    <w:abstractNumId w:val="14"/>
  </w:num>
  <w:num w:numId="21">
    <w:abstractNumId w:val="25"/>
  </w:num>
  <w:num w:numId="22">
    <w:abstractNumId w:val="24"/>
  </w:num>
  <w:num w:numId="23">
    <w:abstractNumId w:val="28"/>
  </w:num>
  <w:num w:numId="24">
    <w:abstractNumId w:val="20"/>
  </w:num>
  <w:num w:numId="25">
    <w:abstractNumId w:val="16"/>
  </w:num>
  <w:num w:numId="26">
    <w:abstractNumId w:val="5"/>
  </w:num>
  <w:num w:numId="27">
    <w:abstractNumId w:val="7"/>
  </w:num>
  <w:num w:numId="28">
    <w:abstractNumId w:val="17"/>
  </w:num>
  <w:num w:numId="29">
    <w:abstractNumId w:val="22"/>
  </w:num>
  <w:num w:numId="30">
    <w:abstractNumId w:val="19"/>
  </w:num>
  <w:num w:numId="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9A3"/>
    <w:rsid w:val="00007BF4"/>
    <w:rsid w:val="000404FE"/>
    <w:rsid w:val="00052C92"/>
    <w:rsid w:val="0006286D"/>
    <w:rsid w:val="00065F09"/>
    <w:rsid w:val="00076075"/>
    <w:rsid w:val="00086329"/>
    <w:rsid w:val="00086FEF"/>
    <w:rsid w:val="00092CBF"/>
    <w:rsid w:val="00095B87"/>
    <w:rsid w:val="000A1395"/>
    <w:rsid w:val="000A36FA"/>
    <w:rsid w:val="000A5616"/>
    <w:rsid w:val="000B0DB8"/>
    <w:rsid w:val="000B5235"/>
    <w:rsid w:val="000C07F7"/>
    <w:rsid w:val="000E4935"/>
    <w:rsid w:val="000E5CE4"/>
    <w:rsid w:val="000F1CCA"/>
    <w:rsid w:val="000F34E9"/>
    <w:rsid w:val="00100F3E"/>
    <w:rsid w:val="0010242F"/>
    <w:rsid w:val="00106F4D"/>
    <w:rsid w:val="001237A2"/>
    <w:rsid w:val="00143F5B"/>
    <w:rsid w:val="00145AA6"/>
    <w:rsid w:val="001569A3"/>
    <w:rsid w:val="00156D66"/>
    <w:rsid w:val="001659D5"/>
    <w:rsid w:val="00183E4A"/>
    <w:rsid w:val="00193AEC"/>
    <w:rsid w:val="001B0E2A"/>
    <w:rsid w:val="002022A9"/>
    <w:rsid w:val="00215038"/>
    <w:rsid w:val="002159DA"/>
    <w:rsid w:val="0022351E"/>
    <w:rsid w:val="00224280"/>
    <w:rsid w:val="00233B0F"/>
    <w:rsid w:val="00254B4D"/>
    <w:rsid w:val="002626B3"/>
    <w:rsid w:val="002654DD"/>
    <w:rsid w:val="002808DD"/>
    <w:rsid w:val="00283C88"/>
    <w:rsid w:val="002866C4"/>
    <w:rsid w:val="00291482"/>
    <w:rsid w:val="00297482"/>
    <w:rsid w:val="002B4A30"/>
    <w:rsid w:val="002C31B1"/>
    <w:rsid w:val="002D3A40"/>
    <w:rsid w:val="002E5322"/>
    <w:rsid w:val="002F0119"/>
    <w:rsid w:val="002F77A7"/>
    <w:rsid w:val="00310FBB"/>
    <w:rsid w:val="00314DB7"/>
    <w:rsid w:val="00327599"/>
    <w:rsid w:val="0033166B"/>
    <w:rsid w:val="00362550"/>
    <w:rsid w:val="0037450F"/>
    <w:rsid w:val="00381960"/>
    <w:rsid w:val="003B258E"/>
    <w:rsid w:val="003C3D88"/>
    <w:rsid w:val="003F1655"/>
    <w:rsid w:val="004018A4"/>
    <w:rsid w:val="004028FB"/>
    <w:rsid w:val="004039D7"/>
    <w:rsid w:val="00412C95"/>
    <w:rsid w:val="00420727"/>
    <w:rsid w:val="004455E0"/>
    <w:rsid w:val="0045222B"/>
    <w:rsid w:val="0045298D"/>
    <w:rsid w:val="00474859"/>
    <w:rsid w:val="004A106A"/>
    <w:rsid w:val="004A1F5E"/>
    <w:rsid w:val="004A6254"/>
    <w:rsid w:val="004B3A04"/>
    <w:rsid w:val="004C3C27"/>
    <w:rsid w:val="004D4851"/>
    <w:rsid w:val="004E4F8E"/>
    <w:rsid w:val="004E6AB1"/>
    <w:rsid w:val="004F0B25"/>
    <w:rsid w:val="004F345F"/>
    <w:rsid w:val="0050263F"/>
    <w:rsid w:val="0051297D"/>
    <w:rsid w:val="005345EB"/>
    <w:rsid w:val="00546F34"/>
    <w:rsid w:val="00551A96"/>
    <w:rsid w:val="00555082"/>
    <w:rsid w:val="00591FB3"/>
    <w:rsid w:val="005B75CA"/>
    <w:rsid w:val="005C371D"/>
    <w:rsid w:val="005D5749"/>
    <w:rsid w:val="00604112"/>
    <w:rsid w:val="00624A14"/>
    <w:rsid w:val="00651374"/>
    <w:rsid w:val="00665B29"/>
    <w:rsid w:val="00667FC1"/>
    <w:rsid w:val="006B1369"/>
    <w:rsid w:val="006B1447"/>
    <w:rsid w:val="006E18D3"/>
    <w:rsid w:val="006F43CF"/>
    <w:rsid w:val="0070227D"/>
    <w:rsid w:val="00706126"/>
    <w:rsid w:val="0070738C"/>
    <w:rsid w:val="0070763F"/>
    <w:rsid w:val="00733383"/>
    <w:rsid w:val="007413A7"/>
    <w:rsid w:val="0074339A"/>
    <w:rsid w:val="007513AC"/>
    <w:rsid w:val="00762F6A"/>
    <w:rsid w:val="0077274E"/>
    <w:rsid w:val="007807D4"/>
    <w:rsid w:val="00782081"/>
    <w:rsid w:val="007B1CB3"/>
    <w:rsid w:val="007B3A18"/>
    <w:rsid w:val="007B47B9"/>
    <w:rsid w:val="007B50E4"/>
    <w:rsid w:val="007D006A"/>
    <w:rsid w:val="007D0CB1"/>
    <w:rsid w:val="007D12C3"/>
    <w:rsid w:val="007E680A"/>
    <w:rsid w:val="007F2584"/>
    <w:rsid w:val="008400A0"/>
    <w:rsid w:val="008500E7"/>
    <w:rsid w:val="00856AFF"/>
    <w:rsid w:val="00857896"/>
    <w:rsid w:val="00863A07"/>
    <w:rsid w:val="008966A5"/>
    <w:rsid w:val="008A0CEB"/>
    <w:rsid w:val="008A5807"/>
    <w:rsid w:val="008A707D"/>
    <w:rsid w:val="008B2694"/>
    <w:rsid w:val="008B36F8"/>
    <w:rsid w:val="008C006A"/>
    <w:rsid w:val="008F2B46"/>
    <w:rsid w:val="00903D9A"/>
    <w:rsid w:val="00911FA7"/>
    <w:rsid w:val="00920036"/>
    <w:rsid w:val="00924089"/>
    <w:rsid w:val="0092677C"/>
    <w:rsid w:val="009436AF"/>
    <w:rsid w:val="009456A7"/>
    <w:rsid w:val="00950167"/>
    <w:rsid w:val="00961619"/>
    <w:rsid w:val="00964A1D"/>
    <w:rsid w:val="009A464E"/>
    <w:rsid w:val="009C0098"/>
    <w:rsid w:val="009C0D6F"/>
    <w:rsid w:val="009F663C"/>
    <w:rsid w:val="00A0346E"/>
    <w:rsid w:val="00A06594"/>
    <w:rsid w:val="00A14F5A"/>
    <w:rsid w:val="00A368F7"/>
    <w:rsid w:val="00A36AD5"/>
    <w:rsid w:val="00A52B3E"/>
    <w:rsid w:val="00A557AE"/>
    <w:rsid w:val="00A57816"/>
    <w:rsid w:val="00A62029"/>
    <w:rsid w:val="00A64A3B"/>
    <w:rsid w:val="00A72AA1"/>
    <w:rsid w:val="00A9482F"/>
    <w:rsid w:val="00A966AB"/>
    <w:rsid w:val="00AC707D"/>
    <w:rsid w:val="00AD0521"/>
    <w:rsid w:val="00AE3B60"/>
    <w:rsid w:val="00AE6007"/>
    <w:rsid w:val="00B258FC"/>
    <w:rsid w:val="00B4242E"/>
    <w:rsid w:val="00B459F0"/>
    <w:rsid w:val="00B4726C"/>
    <w:rsid w:val="00B651A8"/>
    <w:rsid w:val="00B77F74"/>
    <w:rsid w:val="00B81CE9"/>
    <w:rsid w:val="00B952CA"/>
    <w:rsid w:val="00BC5326"/>
    <w:rsid w:val="00BC7665"/>
    <w:rsid w:val="00BD1083"/>
    <w:rsid w:val="00BD33A5"/>
    <w:rsid w:val="00BE0CA4"/>
    <w:rsid w:val="00BF4E16"/>
    <w:rsid w:val="00BF60DC"/>
    <w:rsid w:val="00C05B6A"/>
    <w:rsid w:val="00C1680A"/>
    <w:rsid w:val="00C249E4"/>
    <w:rsid w:val="00C24B03"/>
    <w:rsid w:val="00C36A5C"/>
    <w:rsid w:val="00C52A0D"/>
    <w:rsid w:val="00C5680F"/>
    <w:rsid w:val="00C56A1A"/>
    <w:rsid w:val="00C57947"/>
    <w:rsid w:val="00C60812"/>
    <w:rsid w:val="00C6175E"/>
    <w:rsid w:val="00C822A0"/>
    <w:rsid w:val="00C83362"/>
    <w:rsid w:val="00C91ABF"/>
    <w:rsid w:val="00CA0EAB"/>
    <w:rsid w:val="00CC68C2"/>
    <w:rsid w:val="00CE23F5"/>
    <w:rsid w:val="00CE7013"/>
    <w:rsid w:val="00CF661D"/>
    <w:rsid w:val="00D10EAA"/>
    <w:rsid w:val="00D17510"/>
    <w:rsid w:val="00D56006"/>
    <w:rsid w:val="00D637FD"/>
    <w:rsid w:val="00D7189F"/>
    <w:rsid w:val="00D7232A"/>
    <w:rsid w:val="00D7415A"/>
    <w:rsid w:val="00DB33FF"/>
    <w:rsid w:val="00DB3599"/>
    <w:rsid w:val="00DC7681"/>
    <w:rsid w:val="00E25B50"/>
    <w:rsid w:val="00E46513"/>
    <w:rsid w:val="00E61F19"/>
    <w:rsid w:val="00E843B1"/>
    <w:rsid w:val="00E97FA3"/>
    <w:rsid w:val="00EB203A"/>
    <w:rsid w:val="00EE053E"/>
    <w:rsid w:val="00EE469D"/>
    <w:rsid w:val="00EF3980"/>
    <w:rsid w:val="00F143AD"/>
    <w:rsid w:val="00F16A7A"/>
    <w:rsid w:val="00F2209B"/>
    <w:rsid w:val="00F231C2"/>
    <w:rsid w:val="00F26066"/>
    <w:rsid w:val="00F37923"/>
    <w:rsid w:val="00F7201F"/>
    <w:rsid w:val="00F84075"/>
    <w:rsid w:val="00F91B65"/>
    <w:rsid w:val="00F94BED"/>
    <w:rsid w:val="00F97C8D"/>
    <w:rsid w:val="00FB004B"/>
    <w:rsid w:val="00FB344B"/>
    <w:rsid w:val="00FB5F69"/>
    <w:rsid w:val="00FD1FBC"/>
    <w:rsid w:val="00FE59D9"/>
    <w:rsid w:val="00FE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94F82"/>
  <w15:chartTrackingRefBased/>
  <w15:docId w15:val="{C7322939-91A7-4183-8798-3E9539C6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569A3"/>
    <w:pPr>
      <w:ind w:left="720"/>
      <w:contextualSpacing/>
    </w:pPr>
  </w:style>
  <w:style w:type="paragraph" w:styleId="Header">
    <w:name w:val="header"/>
    <w:basedOn w:val="Normal"/>
    <w:link w:val="HeaderChar"/>
    <w:uiPriority w:val="99"/>
    <w:unhideWhenUsed/>
    <w:rsid w:val="00B42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42E"/>
  </w:style>
  <w:style w:type="paragraph" w:styleId="Footer">
    <w:name w:val="footer"/>
    <w:basedOn w:val="Normal"/>
    <w:link w:val="FooterChar"/>
    <w:uiPriority w:val="99"/>
    <w:unhideWhenUsed/>
    <w:rsid w:val="00B42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42E"/>
  </w:style>
  <w:style w:type="character" w:styleId="CommentReference">
    <w:name w:val="annotation reference"/>
    <w:basedOn w:val="DefaultParagraphFont"/>
    <w:uiPriority w:val="99"/>
    <w:semiHidden/>
    <w:unhideWhenUsed/>
    <w:rsid w:val="00A52B3E"/>
    <w:rPr>
      <w:sz w:val="16"/>
      <w:szCs w:val="16"/>
    </w:rPr>
  </w:style>
  <w:style w:type="paragraph" w:styleId="CommentText">
    <w:name w:val="annotation text"/>
    <w:basedOn w:val="Normal"/>
    <w:link w:val="CommentTextChar"/>
    <w:uiPriority w:val="99"/>
    <w:unhideWhenUsed/>
    <w:rsid w:val="00A52B3E"/>
    <w:pPr>
      <w:spacing w:line="240" w:lineRule="auto"/>
    </w:pPr>
    <w:rPr>
      <w:sz w:val="20"/>
      <w:szCs w:val="20"/>
    </w:rPr>
  </w:style>
  <w:style w:type="character" w:customStyle="1" w:styleId="CommentTextChar">
    <w:name w:val="Comment Text Char"/>
    <w:basedOn w:val="DefaultParagraphFont"/>
    <w:link w:val="CommentText"/>
    <w:uiPriority w:val="99"/>
    <w:rsid w:val="00A52B3E"/>
    <w:rPr>
      <w:sz w:val="20"/>
      <w:szCs w:val="20"/>
    </w:rPr>
  </w:style>
  <w:style w:type="paragraph" w:styleId="CommentSubject">
    <w:name w:val="annotation subject"/>
    <w:basedOn w:val="CommentText"/>
    <w:next w:val="CommentText"/>
    <w:link w:val="CommentSubjectChar"/>
    <w:uiPriority w:val="99"/>
    <w:semiHidden/>
    <w:unhideWhenUsed/>
    <w:rsid w:val="00A52B3E"/>
    <w:rPr>
      <w:b/>
      <w:bCs/>
    </w:rPr>
  </w:style>
  <w:style w:type="character" w:customStyle="1" w:styleId="CommentSubjectChar">
    <w:name w:val="Comment Subject Char"/>
    <w:basedOn w:val="CommentTextChar"/>
    <w:link w:val="CommentSubject"/>
    <w:uiPriority w:val="99"/>
    <w:semiHidden/>
    <w:rsid w:val="00A52B3E"/>
    <w:rPr>
      <w:b/>
      <w:bCs/>
      <w:sz w:val="20"/>
      <w:szCs w:val="20"/>
    </w:rPr>
  </w:style>
  <w:style w:type="paragraph" w:styleId="BalloonText">
    <w:name w:val="Balloon Text"/>
    <w:basedOn w:val="Normal"/>
    <w:link w:val="BalloonTextChar"/>
    <w:uiPriority w:val="99"/>
    <w:semiHidden/>
    <w:unhideWhenUsed/>
    <w:rsid w:val="00A5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B3E"/>
    <w:rPr>
      <w:rFonts w:ascii="Segoe UI" w:hAnsi="Segoe UI" w:cs="Segoe UI"/>
      <w:sz w:val="18"/>
      <w:szCs w:val="18"/>
    </w:rPr>
  </w:style>
  <w:style w:type="paragraph" w:styleId="ListBullet">
    <w:name w:val="List Bullet"/>
    <w:basedOn w:val="Normal"/>
    <w:uiPriority w:val="99"/>
    <w:unhideWhenUsed/>
    <w:rsid w:val="00BF4E16"/>
    <w:pPr>
      <w:numPr>
        <w:numId w:val="4"/>
      </w:numPr>
      <w:contextualSpacing/>
    </w:pPr>
  </w:style>
  <w:style w:type="paragraph" w:styleId="NoSpacing">
    <w:name w:val="No Spacing"/>
    <w:uiPriority w:val="1"/>
    <w:qFormat/>
    <w:rsid w:val="00BF4E16"/>
    <w:pPr>
      <w:spacing w:after="0" w:line="240" w:lineRule="auto"/>
    </w:pPr>
    <w:rPr>
      <w:rFonts w:ascii="Arial" w:hAnsi="Arial"/>
      <w:sz w:val="20"/>
    </w:rPr>
  </w:style>
  <w:style w:type="character" w:customStyle="1" w:styleId="ListParagraphChar">
    <w:name w:val="List Paragraph Char"/>
    <w:basedOn w:val="DefaultParagraphFont"/>
    <w:link w:val="ListParagraph"/>
    <w:uiPriority w:val="34"/>
    <w:locked/>
    <w:rsid w:val="005B75CA"/>
  </w:style>
  <w:style w:type="character" w:styleId="Hyperlink">
    <w:name w:val="Hyperlink"/>
    <w:basedOn w:val="DefaultParagraphFont"/>
    <w:uiPriority w:val="99"/>
    <w:unhideWhenUsed/>
    <w:rsid w:val="0006286D"/>
    <w:rPr>
      <w:color w:val="0563C1" w:themeColor="hyperlink"/>
      <w:u w:val="single"/>
    </w:rPr>
  </w:style>
  <w:style w:type="character" w:styleId="UnresolvedMention">
    <w:name w:val="Unresolved Mention"/>
    <w:basedOn w:val="DefaultParagraphFont"/>
    <w:uiPriority w:val="99"/>
    <w:semiHidden/>
    <w:unhideWhenUsed/>
    <w:rsid w:val="0006286D"/>
    <w:rPr>
      <w:color w:val="605E5C"/>
      <w:shd w:val="clear" w:color="auto" w:fill="E1DFDD"/>
    </w:rPr>
  </w:style>
  <w:style w:type="paragraph" w:styleId="NormalWeb">
    <w:name w:val="Normal (Web)"/>
    <w:basedOn w:val="Normal"/>
    <w:uiPriority w:val="99"/>
    <w:unhideWhenUsed/>
    <w:rsid w:val="00B4726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9359">
      <w:bodyDiv w:val="1"/>
      <w:marLeft w:val="0"/>
      <w:marRight w:val="0"/>
      <w:marTop w:val="0"/>
      <w:marBottom w:val="0"/>
      <w:divBdr>
        <w:top w:val="none" w:sz="0" w:space="0" w:color="auto"/>
        <w:left w:val="none" w:sz="0" w:space="0" w:color="auto"/>
        <w:bottom w:val="none" w:sz="0" w:space="0" w:color="auto"/>
        <w:right w:val="none" w:sz="0" w:space="0" w:color="auto"/>
      </w:divBdr>
    </w:div>
    <w:div w:id="193543642">
      <w:bodyDiv w:val="1"/>
      <w:marLeft w:val="0"/>
      <w:marRight w:val="0"/>
      <w:marTop w:val="0"/>
      <w:marBottom w:val="0"/>
      <w:divBdr>
        <w:top w:val="none" w:sz="0" w:space="0" w:color="auto"/>
        <w:left w:val="none" w:sz="0" w:space="0" w:color="auto"/>
        <w:bottom w:val="none" w:sz="0" w:space="0" w:color="auto"/>
        <w:right w:val="none" w:sz="0" w:space="0" w:color="auto"/>
      </w:divBdr>
      <w:divsChild>
        <w:div w:id="616371952">
          <w:marLeft w:val="0"/>
          <w:marRight w:val="0"/>
          <w:marTop w:val="0"/>
          <w:marBottom w:val="0"/>
          <w:divBdr>
            <w:top w:val="none" w:sz="0" w:space="0" w:color="auto"/>
            <w:left w:val="none" w:sz="0" w:space="0" w:color="auto"/>
            <w:bottom w:val="none" w:sz="0" w:space="0" w:color="auto"/>
            <w:right w:val="none" w:sz="0" w:space="0" w:color="auto"/>
          </w:divBdr>
        </w:div>
      </w:divsChild>
    </w:div>
    <w:div w:id="385495419">
      <w:bodyDiv w:val="1"/>
      <w:marLeft w:val="0"/>
      <w:marRight w:val="0"/>
      <w:marTop w:val="0"/>
      <w:marBottom w:val="0"/>
      <w:divBdr>
        <w:top w:val="none" w:sz="0" w:space="0" w:color="auto"/>
        <w:left w:val="none" w:sz="0" w:space="0" w:color="auto"/>
        <w:bottom w:val="none" w:sz="0" w:space="0" w:color="auto"/>
        <w:right w:val="none" w:sz="0" w:space="0" w:color="auto"/>
      </w:divBdr>
    </w:div>
    <w:div w:id="391076750">
      <w:bodyDiv w:val="1"/>
      <w:marLeft w:val="0"/>
      <w:marRight w:val="0"/>
      <w:marTop w:val="0"/>
      <w:marBottom w:val="0"/>
      <w:divBdr>
        <w:top w:val="none" w:sz="0" w:space="0" w:color="auto"/>
        <w:left w:val="none" w:sz="0" w:space="0" w:color="auto"/>
        <w:bottom w:val="none" w:sz="0" w:space="0" w:color="auto"/>
        <w:right w:val="none" w:sz="0" w:space="0" w:color="auto"/>
      </w:divBdr>
      <w:divsChild>
        <w:div w:id="923954721">
          <w:marLeft w:val="0"/>
          <w:marRight w:val="0"/>
          <w:marTop w:val="0"/>
          <w:marBottom w:val="0"/>
          <w:divBdr>
            <w:top w:val="none" w:sz="0" w:space="0" w:color="auto"/>
            <w:left w:val="none" w:sz="0" w:space="0" w:color="auto"/>
            <w:bottom w:val="none" w:sz="0" w:space="0" w:color="auto"/>
            <w:right w:val="none" w:sz="0" w:space="0" w:color="auto"/>
          </w:divBdr>
        </w:div>
      </w:divsChild>
    </w:div>
    <w:div w:id="704597429">
      <w:bodyDiv w:val="1"/>
      <w:marLeft w:val="0"/>
      <w:marRight w:val="0"/>
      <w:marTop w:val="0"/>
      <w:marBottom w:val="0"/>
      <w:divBdr>
        <w:top w:val="none" w:sz="0" w:space="0" w:color="auto"/>
        <w:left w:val="none" w:sz="0" w:space="0" w:color="auto"/>
        <w:bottom w:val="none" w:sz="0" w:space="0" w:color="auto"/>
        <w:right w:val="none" w:sz="0" w:space="0" w:color="auto"/>
      </w:divBdr>
    </w:div>
    <w:div w:id="884175797">
      <w:bodyDiv w:val="1"/>
      <w:marLeft w:val="0"/>
      <w:marRight w:val="0"/>
      <w:marTop w:val="0"/>
      <w:marBottom w:val="0"/>
      <w:divBdr>
        <w:top w:val="none" w:sz="0" w:space="0" w:color="auto"/>
        <w:left w:val="none" w:sz="0" w:space="0" w:color="auto"/>
        <w:bottom w:val="none" w:sz="0" w:space="0" w:color="auto"/>
        <w:right w:val="none" w:sz="0" w:space="0" w:color="auto"/>
      </w:divBdr>
    </w:div>
    <w:div w:id="1075277702">
      <w:bodyDiv w:val="1"/>
      <w:marLeft w:val="0"/>
      <w:marRight w:val="0"/>
      <w:marTop w:val="0"/>
      <w:marBottom w:val="0"/>
      <w:divBdr>
        <w:top w:val="none" w:sz="0" w:space="0" w:color="auto"/>
        <w:left w:val="none" w:sz="0" w:space="0" w:color="auto"/>
        <w:bottom w:val="none" w:sz="0" w:space="0" w:color="auto"/>
        <w:right w:val="none" w:sz="0" w:space="0" w:color="auto"/>
      </w:divBdr>
    </w:div>
    <w:div w:id="1148935760">
      <w:bodyDiv w:val="1"/>
      <w:marLeft w:val="0"/>
      <w:marRight w:val="0"/>
      <w:marTop w:val="0"/>
      <w:marBottom w:val="0"/>
      <w:divBdr>
        <w:top w:val="none" w:sz="0" w:space="0" w:color="auto"/>
        <w:left w:val="none" w:sz="0" w:space="0" w:color="auto"/>
        <w:bottom w:val="none" w:sz="0" w:space="0" w:color="auto"/>
        <w:right w:val="none" w:sz="0" w:space="0" w:color="auto"/>
      </w:divBdr>
    </w:div>
    <w:div w:id="1157839283">
      <w:bodyDiv w:val="1"/>
      <w:marLeft w:val="0"/>
      <w:marRight w:val="0"/>
      <w:marTop w:val="0"/>
      <w:marBottom w:val="0"/>
      <w:divBdr>
        <w:top w:val="none" w:sz="0" w:space="0" w:color="auto"/>
        <w:left w:val="none" w:sz="0" w:space="0" w:color="auto"/>
        <w:bottom w:val="none" w:sz="0" w:space="0" w:color="auto"/>
        <w:right w:val="none" w:sz="0" w:space="0" w:color="auto"/>
      </w:divBdr>
    </w:div>
    <w:div w:id="1181047904">
      <w:bodyDiv w:val="1"/>
      <w:marLeft w:val="0"/>
      <w:marRight w:val="0"/>
      <w:marTop w:val="0"/>
      <w:marBottom w:val="0"/>
      <w:divBdr>
        <w:top w:val="none" w:sz="0" w:space="0" w:color="auto"/>
        <w:left w:val="none" w:sz="0" w:space="0" w:color="auto"/>
        <w:bottom w:val="none" w:sz="0" w:space="0" w:color="auto"/>
        <w:right w:val="none" w:sz="0" w:space="0" w:color="auto"/>
      </w:divBdr>
    </w:div>
    <w:div w:id="1213082383">
      <w:bodyDiv w:val="1"/>
      <w:marLeft w:val="0"/>
      <w:marRight w:val="0"/>
      <w:marTop w:val="0"/>
      <w:marBottom w:val="0"/>
      <w:divBdr>
        <w:top w:val="none" w:sz="0" w:space="0" w:color="auto"/>
        <w:left w:val="none" w:sz="0" w:space="0" w:color="auto"/>
        <w:bottom w:val="none" w:sz="0" w:space="0" w:color="auto"/>
        <w:right w:val="none" w:sz="0" w:space="0" w:color="auto"/>
      </w:divBdr>
    </w:div>
    <w:div w:id="1389066833">
      <w:bodyDiv w:val="1"/>
      <w:marLeft w:val="0"/>
      <w:marRight w:val="0"/>
      <w:marTop w:val="0"/>
      <w:marBottom w:val="0"/>
      <w:divBdr>
        <w:top w:val="none" w:sz="0" w:space="0" w:color="auto"/>
        <w:left w:val="none" w:sz="0" w:space="0" w:color="auto"/>
        <w:bottom w:val="none" w:sz="0" w:space="0" w:color="auto"/>
        <w:right w:val="none" w:sz="0" w:space="0" w:color="auto"/>
      </w:divBdr>
    </w:div>
    <w:div w:id="1563558706">
      <w:bodyDiv w:val="1"/>
      <w:marLeft w:val="0"/>
      <w:marRight w:val="0"/>
      <w:marTop w:val="0"/>
      <w:marBottom w:val="0"/>
      <w:divBdr>
        <w:top w:val="none" w:sz="0" w:space="0" w:color="auto"/>
        <w:left w:val="none" w:sz="0" w:space="0" w:color="auto"/>
        <w:bottom w:val="none" w:sz="0" w:space="0" w:color="auto"/>
        <w:right w:val="none" w:sz="0" w:space="0" w:color="auto"/>
      </w:divBdr>
    </w:div>
    <w:div w:id="1595548549">
      <w:bodyDiv w:val="1"/>
      <w:marLeft w:val="0"/>
      <w:marRight w:val="0"/>
      <w:marTop w:val="0"/>
      <w:marBottom w:val="0"/>
      <w:divBdr>
        <w:top w:val="none" w:sz="0" w:space="0" w:color="auto"/>
        <w:left w:val="none" w:sz="0" w:space="0" w:color="auto"/>
        <w:bottom w:val="none" w:sz="0" w:space="0" w:color="auto"/>
        <w:right w:val="none" w:sz="0" w:space="0" w:color="auto"/>
      </w:divBdr>
    </w:div>
    <w:div w:id="1611888052">
      <w:bodyDiv w:val="1"/>
      <w:marLeft w:val="0"/>
      <w:marRight w:val="0"/>
      <w:marTop w:val="0"/>
      <w:marBottom w:val="0"/>
      <w:divBdr>
        <w:top w:val="none" w:sz="0" w:space="0" w:color="auto"/>
        <w:left w:val="none" w:sz="0" w:space="0" w:color="auto"/>
        <w:bottom w:val="none" w:sz="0" w:space="0" w:color="auto"/>
        <w:right w:val="none" w:sz="0" w:space="0" w:color="auto"/>
      </w:divBdr>
    </w:div>
    <w:div w:id="1772118000">
      <w:bodyDiv w:val="1"/>
      <w:marLeft w:val="0"/>
      <w:marRight w:val="0"/>
      <w:marTop w:val="0"/>
      <w:marBottom w:val="0"/>
      <w:divBdr>
        <w:top w:val="none" w:sz="0" w:space="0" w:color="auto"/>
        <w:left w:val="none" w:sz="0" w:space="0" w:color="auto"/>
        <w:bottom w:val="none" w:sz="0" w:space="0" w:color="auto"/>
        <w:right w:val="none" w:sz="0" w:space="0" w:color="auto"/>
      </w:divBdr>
    </w:div>
    <w:div w:id="2024894132">
      <w:bodyDiv w:val="1"/>
      <w:marLeft w:val="0"/>
      <w:marRight w:val="0"/>
      <w:marTop w:val="0"/>
      <w:marBottom w:val="0"/>
      <w:divBdr>
        <w:top w:val="none" w:sz="0" w:space="0" w:color="auto"/>
        <w:left w:val="none" w:sz="0" w:space="0" w:color="auto"/>
        <w:bottom w:val="none" w:sz="0" w:space="0" w:color="auto"/>
        <w:right w:val="none" w:sz="0" w:space="0" w:color="auto"/>
      </w:divBdr>
    </w:div>
    <w:div w:id="203838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affhub.city.ac.uk/student-and-academic-services/policies-and-guidance/quality-manual/programmes-at-c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taffhub.city.ac.uk/student-and-academic-services/policies-and-guidance/quality-manual/programmes-at-cit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taffhub.city.ac.uk/__data/assets/word_doc/0004/443794/Programme-Amendment-Guidance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E630-9CA7-4B22-8D88-F0E8C22E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Dawkins, Lucy</dc:creator>
  <cp:keywords/>
  <dc:description/>
  <cp:lastModifiedBy>Chrzan, Malgo</cp:lastModifiedBy>
  <cp:revision>5</cp:revision>
  <dcterms:created xsi:type="dcterms:W3CDTF">2021-09-22T09:09:00Z</dcterms:created>
  <dcterms:modified xsi:type="dcterms:W3CDTF">2021-09-30T12:26:00Z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2021-09-16T11:08:56Z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a1be2709-e9a4-4a83-9a32-57b6320187e3</vt:lpwstr>
  </property>
  <property fmtid="{D5CDD505-2E9C-101B-9397-08002B2CF9AE}" pid="8" name="MSIP_Label_06c24981-b6df-48f8-949b-0896357b9b03_ContentBits">
    <vt:lpwstr>0</vt:lpwstr>
  </property>
</Properties>
</file>